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6F3C11C3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7E0CC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="002858E5">
        <w:fldChar w:fldCharType="begin"/>
      </w:r>
      <w:r w:rsidR="002858E5">
        <w:instrText xml:space="preserve"> DOCPROPERTY  MtgSeq  \* MERGEFORMAT </w:instrText>
      </w:r>
      <w:r w:rsidR="002858E5">
        <w:fldChar w:fldCharType="separate"/>
      </w:r>
      <w:r>
        <w:rPr>
          <w:b/>
          <w:noProof/>
          <w:sz w:val="24"/>
        </w:rPr>
        <w:t>1</w:t>
      </w:r>
      <w:r w:rsidR="002858E5">
        <w:rPr>
          <w:b/>
          <w:noProof/>
          <w:sz w:val="24"/>
        </w:rPr>
        <w:fldChar w:fldCharType="end"/>
      </w:r>
      <w:r w:rsidR="006165E1">
        <w:rPr>
          <w:b/>
          <w:noProof/>
          <w:sz w:val="24"/>
        </w:rPr>
        <w:t>1</w:t>
      </w:r>
      <w:r w:rsidR="00363CD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858E5">
        <w:fldChar w:fldCharType="begin"/>
      </w:r>
      <w:r w:rsidR="002858E5">
        <w:instrText xml:space="preserve"> DOCPROPERTY  Tdoc#  \* MERGEFORMAT </w:instrText>
      </w:r>
      <w:r w:rsidR="002858E5">
        <w:fldChar w:fldCharType="separate"/>
      </w:r>
      <w:r>
        <w:rPr>
          <w:b/>
          <w:i/>
          <w:noProof/>
          <w:sz w:val="28"/>
        </w:rPr>
        <w:t>R4-2</w:t>
      </w:r>
      <w:r w:rsidR="002858E5">
        <w:rPr>
          <w:b/>
          <w:i/>
          <w:noProof/>
          <w:sz w:val="28"/>
        </w:rPr>
        <w:fldChar w:fldCharType="end"/>
      </w:r>
      <w:r w:rsidR="00363CD0">
        <w:rPr>
          <w:b/>
          <w:i/>
          <w:noProof/>
          <w:sz w:val="28"/>
        </w:rPr>
        <w:t>5</w:t>
      </w:r>
      <w:r w:rsidR="00A57A10">
        <w:rPr>
          <w:b/>
          <w:i/>
          <w:noProof/>
          <w:sz w:val="28"/>
          <w:lang w:eastAsia="zh-CN"/>
        </w:rPr>
        <w:t>01810</w:t>
      </w:r>
      <w:bookmarkStart w:id="0" w:name="_GoBack"/>
      <w:bookmarkEnd w:id="0"/>
    </w:p>
    <w:p w14:paraId="45B6A111" w14:textId="6C5C9F3D" w:rsidR="00940222" w:rsidRPr="0052514D" w:rsidRDefault="00363CD0" w:rsidP="0094022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F542A0">
        <w:rPr>
          <w:rFonts w:cs="Arial" w:hint="eastAsia"/>
          <w:sz w:val="24"/>
          <w:szCs w:val="24"/>
          <w:lang w:eastAsia="zh-CN"/>
        </w:rPr>
        <w:t>Athens</w:t>
      </w:r>
      <w:r w:rsidRPr="00F542A0">
        <w:rPr>
          <w:rFonts w:cs="Arial"/>
          <w:sz w:val="24"/>
          <w:szCs w:val="24"/>
          <w:lang w:eastAsia="zh-CN"/>
        </w:rPr>
        <w:t>, GR, 17</w:t>
      </w:r>
      <w:r w:rsidRPr="00F542A0">
        <w:rPr>
          <w:rFonts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sz w:val="24"/>
          <w:szCs w:val="24"/>
          <w:lang w:eastAsia="zh-CN"/>
        </w:rPr>
        <w:t xml:space="preserve"> – 21</w:t>
      </w:r>
      <w:r w:rsidRPr="00F542A0">
        <w:rPr>
          <w:rFonts w:cs="Arial"/>
          <w:sz w:val="24"/>
          <w:szCs w:val="24"/>
          <w:vertAlign w:val="superscript"/>
          <w:lang w:eastAsia="zh-CN"/>
        </w:rPr>
        <w:t>st</w:t>
      </w:r>
      <w:r w:rsidRPr="00F542A0">
        <w:rPr>
          <w:rFonts w:cs="Arial"/>
          <w:sz w:val="24"/>
          <w:szCs w:val="24"/>
          <w:lang w:eastAsia="zh-CN"/>
        </w:rPr>
        <w:t xml:space="preserve"> February, 2025</w:t>
      </w:r>
    </w:p>
    <w:p w14:paraId="508E45E5" w14:textId="77777777" w:rsidR="00A01ADF" w:rsidRPr="00363CD0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2FF60619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3540B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03540B">
        <w:rPr>
          <w:rFonts w:ascii="Arial" w:hAnsi="Arial" w:cs="Arial"/>
          <w:b/>
          <w:sz w:val="22"/>
          <w:szCs w:val="22"/>
        </w:rPr>
        <w:t>iscussion on</w:t>
      </w:r>
      <w:r w:rsidR="003D04FF">
        <w:rPr>
          <w:rFonts w:ascii="Arial" w:hAnsi="Arial" w:cs="Arial"/>
          <w:b/>
          <w:sz w:val="22"/>
          <w:szCs w:val="22"/>
        </w:rPr>
        <w:t xml:space="preserve"> </w:t>
      </w:r>
      <w:r w:rsidR="00E90DC8">
        <w:rPr>
          <w:rFonts w:ascii="Arial" w:hAnsi="Arial" w:cs="Arial"/>
          <w:b/>
          <w:sz w:val="22"/>
          <w:szCs w:val="22"/>
        </w:rPr>
        <w:t>IoT</w:t>
      </w:r>
      <w:r w:rsidR="00F82404">
        <w:rPr>
          <w:rFonts w:ascii="Arial" w:hAnsi="Arial" w:cs="Arial"/>
          <w:b/>
          <w:sz w:val="22"/>
          <w:szCs w:val="22"/>
        </w:rPr>
        <w:t>-NTN HPUE Tx requirements</w:t>
      </w:r>
      <w:r w:rsidR="00E90DC8">
        <w:rPr>
          <w:rFonts w:ascii="Arial" w:hAnsi="Arial" w:cs="Arial"/>
          <w:b/>
          <w:sz w:val="22"/>
          <w:szCs w:val="22"/>
        </w:rPr>
        <w:t xml:space="preserve"> and handheld SAR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491D86C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666B3">
        <w:rPr>
          <w:rFonts w:ascii="Arial" w:hAnsi="Arial" w:cs="Arial"/>
          <w:b/>
          <w:sz w:val="22"/>
          <w:szCs w:val="22"/>
        </w:rPr>
        <w:t>7</w:t>
      </w:r>
      <w:r w:rsidR="00F5659D">
        <w:rPr>
          <w:rFonts w:ascii="Arial" w:hAnsi="Arial" w:cs="Arial"/>
          <w:b/>
          <w:sz w:val="22"/>
          <w:szCs w:val="22"/>
        </w:rPr>
        <w:t>.</w:t>
      </w:r>
      <w:r w:rsidR="00F82404">
        <w:rPr>
          <w:rFonts w:ascii="Arial" w:hAnsi="Arial" w:cs="Arial"/>
          <w:b/>
          <w:sz w:val="22"/>
          <w:szCs w:val="22"/>
        </w:rPr>
        <w:t>10.</w:t>
      </w:r>
      <w:r w:rsidR="00265E0B">
        <w:rPr>
          <w:rFonts w:ascii="Arial" w:hAnsi="Arial" w:cs="Arial"/>
          <w:b/>
          <w:sz w:val="22"/>
          <w:szCs w:val="22"/>
        </w:rPr>
        <w:t>2.</w:t>
      </w:r>
      <w:r w:rsidR="00E90DC8">
        <w:rPr>
          <w:rFonts w:ascii="Arial" w:hAnsi="Arial" w:cs="Arial"/>
          <w:b/>
          <w:sz w:val="22"/>
          <w:szCs w:val="22"/>
        </w:rPr>
        <w:t>3</w:t>
      </w:r>
      <w:r w:rsidR="00265E0B">
        <w:rPr>
          <w:rFonts w:ascii="Arial" w:hAnsi="Arial" w:cs="Arial"/>
          <w:b/>
          <w:sz w:val="22"/>
          <w:szCs w:val="22"/>
        </w:rPr>
        <w:t>.1</w:t>
      </w:r>
    </w:p>
    <w:p w14:paraId="4F4EB853" w14:textId="1BAFC5E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03540B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5FDC9A3A" w14:textId="4A20F7A3" w:rsidR="003D209D" w:rsidRDefault="003D209D" w:rsidP="001E48F4">
      <w:pPr>
        <w:rPr>
          <w:lang w:val="sv-SE" w:eastAsia="zh-CN"/>
        </w:rPr>
      </w:pPr>
      <w:r>
        <w:rPr>
          <w:lang w:val="sv-SE" w:eastAsia="zh-CN"/>
        </w:rPr>
        <w:t xml:space="preserve">In previous several RAN4 meetings, </w:t>
      </w:r>
      <w:r w:rsidR="009831CE">
        <w:rPr>
          <w:lang w:val="sv-SE" w:eastAsia="zh-CN"/>
        </w:rPr>
        <w:t>the WF[2] has captured the agreements and open issues for IoT-NTN Tx requirements, and also the potential SAR solutions.</w:t>
      </w:r>
    </w:p>
    <w:p w14:paraId="6DC91442" w14:textId="4CA45C39" w:rsidR="009831CE" w:rsidRDefault="009831CE" w:rsidP="001E48F4">
      <w:pPr>
        <w:rPr>
          <w:lang w:val="sv-SE" w:eastAsia="zh-CN"/>
        </w:rPr>
      </w:pPr>
      <w:r>
        <w:rPr>
          <w:lang w:val="sv-SE" w:eastAsia="zh-CN"/>
        </w:rPr>
        <w:t>In this paper, we propose to further discuss the ACLR requirements given the initial conclusion from co-existudy is given in [1], and also to share our view on a duty cycle based SAR solution.</w:t>
      </w:r>
    </w:p>
    <w:p w14:paraId="1B7823D6" w14:textId="1971E482" w:rsidR="006C0AE1" w:rsidRPr="00790A07" w:rsidRDefault="00727BFD" w:rsidP="006C0AE1">
      <w:pPr>
        <w:pStyle w:val="1"/>
      </w:pPr>
      <w:r>
        <w:t>2</w:t>
      </w:r>
      <w:r w:rsidR="006C0AE1" w:rsidRPr="00790A07">
        <w:tab/>
      </w:r>
      <w:r w:rsidR="00136B98">
        <w:t>Tx requirements</w:t>
      </w:r>
    </w:p>
    <w:p w14:paraId="58900342" w14:textId="04CF958A" w:rsidR="002F736C" w:rsidRDefault="00216DF3" w:rsidP="001E48F4">
      <w:pPr>
        <w:rPr>
          <w:lang w:val="sv-SE" w:eastAsia="zh-CN"/>
        </w:rPr>
      </w:pPr>
      <w:bookmarkStart w:id="1" w:name="OLE_LINK3"/>
      <w:bookmarkStart w:id="2" w:name="OLE_LINK4"/>
      <w:r>
        <w:rPr>
          <w:lang w:val="sv-SE" w:eastAsia="zh-CN"/>
        </w:rPr>
        <w:t>F</w:t>
      </w:r>
      <w:r w:rsidR="001E48F4">
        <w:rPr>
          <w:lang w:val="sv-SE" w:eastAsia="zh-CN"/>
        </w:rPr>
        <w:t>rom the last meeting WF [1] and also we proposed it in a separate paper,</w:t>
      </w:r>
      <w:r w:rsidR="009306DC">
        <w:rPr>
          <w:lang w:val="sv-SE" w:eastAsia="zh-CN"/>
        </w:rPr>
        <w:t xml:space="preserve"> it can be concluded from co-ex study point of view, that the ACLR for</w:t>
      </w:r>
      <w:r w:rsidR="001E48F4">
        <w:rPr>
          <w:lang w:val="sv-SE" w:eastAsia="zh-CN"/>
        </w:rPr>
        <w:t xml:space="preserve"> IoT-NTN </w:t>
      </w:r>
      <w:bookmarkEnd w:id="1"/>
      <w:bookmarkEnd w:id="2"/>
      <w:r w:rsidR="001E48F4">
        <w:rPr>
          <w:lang w:val="sv-SE" w:eastAsia="zh-CN"/>
        </w:rPr>
        <w:t>for PC2 and PC1 are much less than the PC</w:t>
      </w:r>
      <w:r w:rsidR="00136B98">
        <w:rPr>
          <w:lang w:val="sv-SE" w:eastAsia="zh-CN"/>
        </w:rPr>
        <w:t>3</w:t>
      </w:r>
      <w:r w:rsidR="001E48F4">
        <w:rPr>
          <w:lang w:val="sv-SE" w:eastAsia="zh-CN"/>
        </w:rPr>
        <w:t xml:space="preserve"> IoT-NTN ACLR (UTRA_ACLR as 37d</w:t>
      </w:r>
      <w:r w:rsidR="00BD1545">
        <w:rPr>
          <w:lang w:val="sv-SE" w:eastAsia="zh-CN"/>
        </w:rPr>
        <w:t>B). The required ACLR are below 25 dBc for up to PC1 and regardless of the isolation distance.</w:t>
      </w:r>
    </w:p>
    <w:p w14:paraId="2DD2341E" w14:textId="3B012ECA" w:rsidR="00BD1545" w:rsidRDefault="00BD1545" w:rsidP="001E48F4">
      <w:pPr>
        <w:rPr>
          <w:lang w:val="sv-SE" w:eastAsia="zh-CN"/>
        </w:rPr>
      </w:pPr>
      <w:r w:rsidRPr="00136B98">
        <w:rPr>
          <w:b/>
          <w:lang w:val="sv-SE" w:eastAsia="zh-CN"/>
        </w:rPr>
        <w:t>Observation 1</w:t>
      </w:r>
      <w:r>
        <w:rPr>
          <w:lang w:val="sv-SE" w:eastAsia="zh-CN"/>
        </w:rPr>
        <w:t xml:space="preserve">: The </w:t>
      </w:r>
      <w:r w:rsidR="00136B98">
        <w:rPr>
          <w:lang w:val="sv-SE" w:eastAsia="zh-CN"/>
        </w:rPr>
        <w:t>required ACLR from co-ex study are below 25 dB for up to PC1 for IoT-NTN regardless of isolation distance.</w:t>
      </w:r>
    </w:p>
    <w:p w14:paraId="376CC843" w14:textId="25FFFFEF" w:rsidR="00136B98" w:rsidRDefault="00136B98" w:rsidP="001E48F4">
      <w:pPr>
        <w:rPr>
          <w:lang w:val="sv-SE" w:eastAsia="zh-CN"/>
        </w:rPr>
      </w:pPr>
      <w:r>
        <w:rPr>
          <w:lang w:val="sv-SE" w:eastAsia="zh-CN"/>
        </w:rPr>
        <w:t>Considering the agreement reached in last meeting in [2], which is not to have more relaxed ACLR compared to PC3 for NB-IoT NTN. It is proposed to re-use the PC3 NB-IoT NTN ACLR for PC2 and PC1, if specified.</w:t>
      </w:r>
    </w:p>
    <w:p w14:paraId="690A3E87" w14:textId="75EA8132" w:rsidR="00136B98" w:rsidRPr="00136B98" w:rsidRDefault="00136B98" w:rsidP="001E48F4">
      <w:pPr>
        <w:rPr>
          <w:b/>
          <w:lang w:val="sv-SE" w:eastAsia="zh-CN"/>
        </w:rPr>
      </w:pPr>
      <w:r w:rsidRPr="00136B98">
        <w:rPr>
          <w:b/>
          <w:lang w:val="sv-SE" w:eastAsia="zh-CN"/>
        </w:rPr>
        <w:t>Proposal 1: To re-use the PC3 NB-IoT NTN ACLR for IoT-NTN PC2 and PC1, if specified.</w:t>
      </w:r>
    </w:p>
    <w:p w14:paraId="7CB858D2" w14:textId="49C28575" w:rsidR="001E48F4" w:rsidRDefault="001E48F4" w:rsidP="001E48F4">
      <w:pPr>
        <w:rPr>
          <w:b/>
          <w:lang w:val="sv-SE" w:eastAsia="zh-CN"/>
        </w:rPr>
      </w:pPr>
    </w:p>
    <w:p w14:paraId="37E8D0A9" w14:textId="75BE3571" w:rsidR="001B744A" w:rsidRPr="00790A07" w:rsidRDefault="001B744A" w:rsidP="001B744A">
      <w:pPr>
        <w:pStyle w:val="1"/>
      </w:pPr>
      <w:r>
        <w:t>3</w:t>
      </w:r>
      <w:r w:rsidRPr="00790A07">
        <w:tab/>
      </w:r>
      <w:r>
        <w:t>SAR solution</w:t>
      </w:r>
    </w:p>
    <w:p w14:paraId="4686AEB3" w14:textId="4526EC86" w:rsidR="001B744A" w:rsidRDefault="00BE7D3D" w:rsidP="001E48F4">
      <w:pPr>
        <w:rPr>
          <w:lang w:val="sv-SE" w:eastAsia="zh-CN"/>
        </w:rPr>
      </w:pPr>
      <w:r>
        <w:rPr>
          <w:lang w:val="sv-SE" w:eastAsia="zh-CN"/>
        </w:rPr>
        <w:t xml:space="preserve">In [2], the SAR solutions were proposed by different companies, and initially discussed. From the discussion, we </w:t>
      </w:r>
      <w:r w:rsidR="00A5566C">
        <w:rPr>
          <w:lang w:val="sv-SE" w:eastAsia="zh-CN"/>
        </w:rPr>
        <w:t>list several findings below</w:t>
      </w:r>
      <w:r>
        <w:rPr>
          <w:lang w:val="sv-SE" w:eastAsia="zh-CN"/>
        </w:rPr>
        <w:t>:</w:t>
      </w:r>
    </w:p>
    <w:p w14:paraId="66B8213C" w14:textId="4CC61C42" w:rsidR="00BE7D3D" w:rsidRDefault="00BE7D3D" w:rsidP="001E48F4">
      <w:pPr>
        <w:rPr>
          <w:lang w:val="sv-SE" w:eastAsia="zh-CN"/>
        </w:rPr>
      </w:pPr>
      <w:r>
        <w:rPr>
          <w:lang w:val="sv-SE" w:eastAsia="zh-CN"/>
        </w:rPr>
        <w:t xml:space="preserve">- </w:t>
      </w:r>
      <w:r w:rsidR="00A5566C">
        <w:rPr>
          <w:lang w:val="sv-SE" w:eastAsia="zh-CN"/>
        </w:rPr>
        <w:t>The common view is to maintain the HPUE at its desired nominal power as much as possible;</w:t>
      </w:r>
    </w:p>
    <w:p w14:paraId="5AD7149E" w14:textId="75A804DB" w:rsidR="00A5566C" w:rsidRDefault="00A5566C" w:rsidP="001E48F4">
      <w:pPr>
        <w:rPr>
          <w:lang w:val="sv-SE" w:eastAsia="zh-CN"/>
        </w:rPr>
      </w:pPr>
      <w:r>
        <w:rPr>
          <w:lang w:val="sv-SE" w:eastAsia="zh-CN"/>
        </w:rPr>
        <w:t>- The TN dutycycle solution is a good reference</w:t>
      </w:r>
      <w:r>
        <w:rPr>
          <w:rFonts w:hint="eastAsia"/>
          <w:lang w:val="sv-SE" w:eastAsia="zh-CN"/>
        </w:rPr>
        <w:t>;</w:t>
      </w:r>
    </w:p>
    <w:p w14:paraId="49CF32CE" w14:textId="72BF84E7" w:rsidR="00E83C64" w:rsidRDefault="00E83C64" w:rsidP="001E48F4">
      <w:pPr>
        <w:rPr>
          <w:lang w:val="sv-SE" w:eastAsia="zh-CN"/>
        </w:rPr>
      </w:pPr>
      <w:r>
        <w:rPr>
          <w:rFonts w:hint="eastAsia"/>
          <w:lang w:val="sv-SE" w:eastAsia="zh-CN"/>
        </w:rPr>
        <w:t>-</w:t>
      </w:r>
      <w:r>
        <w:rPr>
          <w:lang w:val="sv-SE" w:eastAsia="zh-CN"/>
        </w:rPr>
        <w:t xml:space="preserve"> A ’TDD duty cycle’ is needed for NTN FDD band if duty cycle like solution is to be used.</w:t>
      </w:r>
    </w:p>
    <w:p w14:paraId="385A98F1" w14:textId="06AA20B5" w:rsidR="00E83C64" w:rsidRDefault="00E83C64" w:rsidP="001E48F4">
      <w:pPr>
        <w:rPr>
          <w:lang w:val="sv-SE" w:eastAsia="zh-CN"/>
        </w:rPr>
      </w:pPr>
    </w:p>
    <w:p w14:paraId="6F7DC9D0" w14:textId="5C335BC8" w:rsidR="00E83C64" w:rsidRDefault="008B54DA" w:rsidP="00E83C64">
      <w:pPr>
        <w:rPr>
          <w:lang w:val="sv-SE" w:eastAsia="zh-CN"/>
        </w:rPr>
      </w:pPr>
      <w:r>
        <w:rPr>
          <w:lang w:val="sv-SE" w:eastAsia="zh-CN"/>
        </w:rPr>
        <w:t>So based on above, and considering P-MPR will always be a baseline solution, we try to establish several working assumptions before we continue exploring the potential SAR solutions. And these working assumptions are:</w:t>
      </w:r>
    </w:p>
    <w:p w14:paraId="526C8E1C" w14:textId="0DFD345A" w:rsidR="008B54DA" w:rsidRDefault="008B54DA" w:rsidP="00E83C64">
      <w:pPr>
        <w:rPr>
          <w:lang w:val="sv-SE" w:eastAsia="zh-CN"/>
        </w:rPr>
      </w:pPr>
      <w:r>
        <w:rPr>
          <w:lang w:val="sv-SE" w:eastAsia="zh-CN"/>
        </w:rPr>
        <w:t>- UE to transmit in its declared power class nominal power, without applying P-MPR, as much as it can.</w:t>
      </w:r>
      <w:r w:rsidR="00CA6CDC">
        <w:rPr>
          <w:lang w:val="sv-SE" w:eastAsia="zh-CN"/>
        </w:rPr>
        <w:t xml:space="preserve"> (Otherwise, it’s P-MPR baseline solution)</w:t>
      </w:r>
    </w:p>
    <w:p w14:paraId="0268EAB9" w14:textId="209187F7" w:rsidR="008B54DA" w:rsidRDefault="008B54DA" w:rsidP="00E83C64">
      <w:pPr>
        <w:rPr>
          <w:lang w:val="sv-SE" w:eastAsia="zh-CN"/>
        </w:rPr>
      </w:pPr>
      <w:r>
        <w:rPr>
          <w:lang w:val="sv-SE" w:eastAsia="zh-CN"/>
        </w:rPr>
        <w:t>- UE to take responsibility of its own SAR monitoring, but to fall back as less as possible. (Not possible for NW to take reponsibility of UE SAR compliance)</w:t>
      </w:r>
    </w:p>
    <w:p w14:paraId="632801CA" w14:textId="460A9BB9" w:rsidR="008B54DA" w:rsidRDefault="008B54DA" w:rsidP="00E83C64">
      <w:pPr>
        <w:rPr>
          <w:lang w:val="sv-SE" w:eastAsia="zh-CN"/>
        </w:rPr>
      </w:pPr>
      <w:r>
        <w:rPr>
          <w:lang w:val="sv-SE" w:eastAsia="zh-CN"/>
        </w:rPr>
        <w:t>- There is a NW indication about the uplink duty ratio for a beam or a cell. (NTN_Phase3 is working on beam hopping, and each beam will have different level of service chance in TDM hopping pattern.)</w:t>
      </w:r>
    </w:p>
    <w:p w14:paraId="2004D9CE" w14:textId="1D824649" w:rsidR="00BE2E4F" w:rsidRPr="00E83C64" w:rsidRDefault="00BE2E4F" w:rsidP="00E83C64">
      <w:pPr>
        <w:rPr>
          <w:lang w:val="sv-SE" w:eastAsia="zh-CN"/>
        </w:rPr>
      </w:pPr>
      <w:r>
        <w:rPr>
          <w:lang w:val="sv-SE" w:eastAsia="zh-CN"/>
        </w:rPr>
        <w:t>- UE to report to NW about it’s decision, and this decision needs to be specified (otherwise it’s non 3GPP method)</w:t>
      </w:r>
    </w:p>
    <w:p w14:paraId="61769A48" w14:textId="77777777" w:rsidR="00BE7D3D" w:rsidRPr="00B04D01" w:rsidRDefault="00BE7D3D" w:rsidP="001E48F4">
      <w:pPr>
        <w:rPr>
          <w:lang w:val="sv-SE" w:eastAsia="zh-CN"/>
        </w:rPr>
      </w:pPr>
    </w:p>
    <w:p w14:paraId="70A9702B" w14:textId="3046F4BD" w:rsidR="00BE7D3D" w:rsidRDefault="00B04D01" w:rsidP="001E48F4">
      <w:pPr>
        <w:rPr>
          <w:b/>
          <w:lang w:val="sv-SE" w:eastAsia="zh-CN"/>
        </w:rPr>
      </w:pPr>
      <w:r w:rsidRPr="00B04D01">
        <w:rPr>
          <w:rFonts w:hint="eastAsia"/>
          <w:b/>
          <w:lang w:val="sv-SE" w:eastAsia="zh-CN"/>
        </w:rPr>
        <w:lastRenderedPageBreak/>
        <w:t>P</w:t>
      </w:r>
      <w:r w:rsidRPr="00B04D01">
        <w:rPr>
          <w:b/>
          <w:lang w:val="sv-SE" w:eastAsia="zh-CN"/>
        </w:rPr>
        <w:t xml:space="preserve">roposal 2: </w:t>
      </w:r>
      <w:r>
        <w:rPr>
          <w:b/>
          <w:lang w:val="sv-SE" w:eastAsia="zh-CN"/>
        </w:rPr>
        <w:t xml:space="preserve">To consider following working assumptions </w:t>
      </w:r>
      <w:r w:rsidR="00BE2E4F">
        <w:rPr>
          <w:b/>
          <w:lang w:val="sv-SE" w:eastAsia="zh-CN"/>
        </w:rPr>
        <w:t>for discussing a SAR solution other than baseline P-MPR or non-3GPP tech:</w:t>
      </w:r>
    </w:p>
    <w:p w14:paraId="6A9C1A00" w14:textId="77777777" w:rsidR="00BE2E4F" w:rsidRPr="00BE2E4F" w:rsidRDefault="00BE2E4F" w:rsidP="00BE2E4F">
      <w:pPr>
        <w:rPr>
          <w:b/>
          <w:lang w:val="sv-SE" w:eastAsia="zh-CN"/>
        </w:rPr>
      </w:pPr>
      <w:r w:rsidRPr="00BE2E4F">
        <w:rPr>
          <w:b/>
          <w:lang w:val="sv-SE" w:eastAsia="zh-CN"/>
        </w:rPr>
        <w:t>- UE to transmit in its declared power class nominal power, without applying P-MPR, as much as it can. (Otherwise, it’s P-MPR baseline solution)</w:t>
      </w:r>
    </w:p>
    <w:p w14:paraId="019E51B0" w14:textId="77777777" w:rsidR="00BE2E4F" w:rsidRPr="00BE2E4F" w:rsidRDefault="00BE2E4F" w:rsidP="00BE2E4F">
      <w:pPr>
        <w:rPr>
          <w:b/>
          <w:lang w:val="sv-SE" w:eastAsia="zh-CN"/>
        </w:rPr>
      </w:pPr>
      <w:r w:rsidRPr="00BE2E4F">
        <w:rPr>
          <w:b/>
          <w:lang w:val="sv-SE" w:eastAsia="zh-CN"/>
        </w:rPr>
        <w:t>- UE to take responsibility of its own SAR monitoring, but to fall back as less as possible. (Not possible for NW to take reponsibility of UE SAR compliance)</w:t>
      </w:r>
    </w:p>
    <w:p w14:paraId="31B07EB1" w14:textId="77777777" w:rsidR="00BE2E4F" w:rsidRPr="00BE2E4F" w:rsidRDefault="00BE2E4F" w:rsidP="00BE2E4F">
      <w:pPr>
        <w:rPr>
          <w:b/>
          <w:lang w:val="sv-SE" w:eastAsia="zh-CN"/>
        </w:rPr>
      </w:pPr>
      <w:r w:rsidRPr="00BE2E4F">
        <w:rPr>
          <w:b/>
          <w:lang w:val="sv-SE" w:eastAsia="zh-CN"/>
        </w:rPr>
        <w:t>- There is a NW indication about the uplink duty ratio for a beam or a cell. (NTN_Phase3 is working on beam hopping, and each beam will have different level of service chance in TDM hopping pattern.)</w:t>
      </w:r>
    </w:p>
    <w:p w14:paraId="5AF91727" w14:textId="77777777" w:rsidR="00BE2E4F" w:rsidRPr="00BE2E4F" w:rsidRDefault="00BE2E4F" w:rsidP="00BE2E4F">
      <w:pPr>
        <w:rPr>
          <w:b/>
          <w:lang w:val="sv-SE" w:eastAsia="zh-CN"/>
        </w:rPr>
      </w:pPr>
      <w:r w:rsidRPr="00BE2E4F">
        <w:rPr>
          <w:b/>
          <w:lang w:val="sv-SE" w:eastAsia="zh-CN"/>
        </w:rPr>
        <w:t>- UE to report to NW about it’s decision, and this decision needs to be specified (otherwise it’s non 3GPP method)</w:t>
      </w:r>
    </w:p>
    <w:p w14:paraId="2D27CACE" w14:textId="77777777" w:rsidR="00BE2E4F" w:rsidRPr="00BE2E4F" w:rsidRDefault="00BE2E4F" w:rsidP="001E48F4">
      <w:pPr>
        <w:rPr>
          <w:b/>
          <w:lang w:val="sv-SE" w:eastAsia="zh-CN"/>
        </w:rPr>
      </w:pPr>
    </w:p>
    <w:p w14:paraId="713CD6D5" w14:textId="1F3E979E" w:rsidR="00BE2E4F" w:rsidRDefault="00BE2E4F" w:rsidP="001E48F4">
      <w:pPr>
        <w:rPr>
          <w:lang w:val="sv-SE" w:eastAsia="zh-CN"/>
        </w:rPr>
      </w:pPr>
      <w:r>
        <w:rPr>
          <w:lang w:val="sv-SE" w:eastAsia="zh-CN"/>
        </w:rPr>
        <w:t>With the above working assumption, if we go through the process from UE side:</w:t>
      </w:r>
    </w:p>
    <w:p w14:paraId="3599C4BE" w14:textId="3E8D5F3C" w:rsidR="00BE2E4F" w:rsidRDefault="00BE2E4F" w:rsidP="00FE1105">
      <w:pPr>
        <w:pStyle w:val="a6"/>
        <w:numPr>
          <w:ilvl w:val="0"/>
          <w:numId w:val="1"/>
        </w:numPr>
        <w:ind w:firstLineChars="0"/>
        <w:rPr>
          <w:lang w:val="sv-SE"/>
        </w:rPr>
      </w:pPr>
      <w:r>
        <w:rPr>
          <w:rFonts w:hint="eastAsia"/>
          <w:lang w:val="sv-SE"/>
        </w:rPr>
        <w:t>U</w:t>
      </w:r>
      <w:r>
        <w:rPr>
          <w:lang w:val="sv-SE"/>
        </w:rPr>
        <w:t>E acknowledged a TDD-like uplink ratio that current cell or beam utilized (from TDM beam hopping information);</w:t>
      </w:r>
    </w:p>
    <w:p w14:paraId="4EF85342" w14:textId="676B38E8" w:rsidR="00BE2E4F" w:rsidRDefault="00BE2E4F" w:rsidP="00FE1105">
      <w:pPr>
        <w:pStyle w:val="a6"/>
        <w:numPr>
          <w:ilvl w:val="0"/>
          <w:numId w:val="1"/>
        </w:numPr>
        <w:ind w:firstLineChars="0"/>
        <w:rPr>
          <w:lang w:val="sv-SE"/>
        </w:rPr>
      </w:pPr>
      <w:r>
        <w:rPr>
          <w:rFonts w:hint="eastAsia"/>
          <w:lang w:val="sv-SE"/>
        </w:rPr>
        <w:t>U</w:t>
      </w:r>
      <w:r>
        <w:rPr>
          <w:lang w:val="sv-SE"/>
        </w:rPr>
        <w:t>E report its power class and associated maxUplinkDutyCycle;</w:t>
      </w:r>
    </w:p>
    <w:p w14:paraId="1773112C" w14:textId="02B3CB71" w:rsidR="00514BA8" w:rsidRDefault="00514BA8" w:rsidP="00FE1105">
      <w:pPr>
        <w:pStyle w:val="a6"/>
        <w:numPr>
          <w:ilvl w:val="0"/>
          <w:numId w:val="1"/>
        </w:numPr>
        <w:ind w:firstLineChars="0"/>
        <w:rPr>
          <w:lang w:val="sv-SE"/>
        </w:rPr>
      </w:pPr>
      <w:r>
        <w:rPr>
          <w:lang w:val="sv-SE"/>
        </w:rPr>
        <w:t xml:space="preserve">UE </w:t>
      </w:r>
      <w:r>
        <w:rPr>
          <w:rFonts w:hint="eastAsia"/>
          <w:lang w:val="sv-SE"/>
        </w:rPr>
        <w:t>t</w:t>
      </w:r>
      <w:r>
        <w:rPr>
          <w:lang w:val="sv-SE"/>
        </w:rPr>
        <w:t>o not consider P-MPR in power configuration;</w:t>
      </w:r>
    </w:p>
    <w:p w14:paraId="1F8DB3B7" w14:textId="45CF6778" w:rsidR="00BE2E4F" w:rsidRPr="00BE2E4F" w:rsidRDefault="00BE2E4F" w:rsidP="00FE1105">
      <w:pPr>
        <w:pStyle w:val="a6"/>
        <w:numPr>
          <w:ilvl w:val="0"/>
          <w:numId w:val="1"/>
        </w:numPr>
        <w:ind w:firstLineChars="0"/>
        <w:rPr>
          <w:lang w:val="sv-SE"/>
        </w:rPr>
      </w:pPr>
      <w:r w:rsidRPr="00BE2E4F">
        <w:rPr>
          <w:rFonts w:hint="eastAsia"/>
          <w:lang w:val="sv-SE"/>
        </w:rPr>
        <w:t>O</w:t>
      </w:r>
      <w:r w:rsidRPr="00BE2E4F">
        <w:rPr>
          <w:lang w:val="sv-SE"/>
        </w:rPr>
        <w:t>ption 1:</w:t>
      </w:r>
      <w:r>
        <w:rPr>
          <w:lang w:val="sv-SE"/>
        </w:rPr>
        <w:t xml:space="preserve"> UE to fall back power classes based on information above (</w:t>
      </w:r>
      <w:r w:rsidR="00514BA8" w:rsidRPr="00514BA8">
        <w:rPr>
          <w:lang w:val="sv-SE"/>
        </w:rPr>
        <w:sym w:font="Wingdings" w:char="F0E0"/>
      </w:r>
      <w:r w:rsidR="00514BA8">
        <w:rPr>
          <w:lang w:val="sv-SE"/>
        </w:rPr>
        <w:t xml:space="preserve"> </w:t>
      </w:r>
      <w:r>
        <w:rPr>
          <w:lang w:val="sv-SE"/>
        </w:rPr>
        <w:t>legacy duty cycle solution, not quite aligned with purpose to transmit as much and as long as possible)</w:t>
      </w:r>
    </w:p>
    <w:p w14:paraId="75E09BE5" w14:textId="225E2E8F" w:rsidR="00BE2E4F" w:rsidRDefault="00BE2E4F" w:rsidP="00BE2E4F">
      <w:pPr>
        <w:pStyle w:val="a6"/>
        <w:ind w:left="360" w:firstLineChars="0" w:firstLine="0"/>
        <w:rPr>
          <w:lang w:val="sv-SE"/>
        </w:rPr>
      </w:pPr>
      <w:r>
        <w:rPr>
          <w:lang w:val="sv-SE"/>
        </w:rPr>
        <w:t>Option 2:</w:t>
      </w:r>
      <w:r w:rsidR="00514BA8">
        <w:rPr>
          <w:lang w:val="sv-SE"/>
        </w:rPr>
        <w:t xml:space="preserve"> UE to fall back several dB but not entire power class, based on information above (</w:t>
      </w:r>
      <w:r w:rsidR="00514BA8" w:rsidRPr="00514BA8">
        <w:rPr>
          <w:lang w:val="sv-SE"/>
        </w:rPr>
        <w:sym w:font="Wingdings" w:char="F0E0"/>
      </w:r>
      <w:r w:rsidR="00514BA8">
        <w:rPr>
          <w:lang w:val="sv-SE"/>
        </w:rPr>
        <w:t xml:space="preserve"> technically UE can reach more power than Option 1)</w:t>
      </w:r>
    </w:p>
    <w:p w14:paraId="02E1036C" w14:textId="2B9934B6" w:rsidR="00514BA8" w:rsidRDefault="00BE2E4F" w:rsidP="00BE2E4F">
      <w:pPr>
        <w:pStyle w:val="a6"/>
        <w:ind w:left="360" w:firstLineChars="0" w:firstLine="0"/>
        <w:rPr>
          <w:lang w:val="sv-SE"/>
        </w:rPr>
      </w:pPr>
      <w:r>
        <w:rPr>
          <w:lang w:val="sv-SE"/>
        </w:rPr>
        <w:t>Option 3:</w:t>
      </w:r>
      <w:r w:rsidR="00514BA8">
        <w:rPr>
          <w:lang w:val="sv-SE"/>
        </w:rPr>
        <w:t xml:space="preserve"> UE to not fall back any power, but to monitor SAR by itself. </w:t>
      </w:r>
      <w:r w:rsidR="00514BA8">
        <w:rPr>
          <w:rFonts w:hint="eastAsia"/>
          <w:lang w:val="sv-SE"/>
        </w:rPr>
        <w:t>(</w:t>
      </w:r>
      <w:r w:rsidR="00514BA8" w:rsidRPr="00514BA8">
        <w:rPr>
          <w:lang w:val="sv-SE"/>
        </w:rPr>
        <w:sym w:font="Wingdings" w:char="F0E0"/>
      </w:r>
      <w:r w:rsidR="00514BA8">
        <w:rPr>
          <w:lang w:val="sv-SE"/>
        </w:rPr>
        <w:t xml:space="preserve"> In this case, UE may fall into the situation that it reached the bar for SAR compliance.)</w:t>
      </w:r>
    </w:p>
    <w:p w14:paraId="4C10382B" w14:textId="2E943C5E" w:rsidR="00052F54" w:rsidRDefault="00514BA8" w:rsidP="00052F54">
      <w:pPr>
        <w:pStyle w:val="a6"/>
        <w:ind w:left="360" w:firstLineChars="0" w:firstLine="0"/>
        <w:rPr>
          <w:lang w:val="sv-SE"/>
        </w:rPr>
      </w:pPr>
      <w:r>
        <w:rPr>
          <w:lang w:val="sv-SE"/>
        </w:rPr>
        <w:tab/>
        <w:t xml:space="preserve">- Option 3-1: UE to enter </w:t>
      </w:r>
      <w:r w:rsidR="00052F54">
        <w:rPr>
          <w:lang w:val="sv-SE"/>
        </w:rPr>
        <w:t>something like a DTx pattern, or UL Gap pattern for a certain duration.</w:t>
      </w:r>
    </w:p>
    <w:p w14:paraId="7863BFDC" w14:textId="07DC9D45" w:rsidR="00514BA8" w:rsidRDefault="00514BA8" w:rsidP="00BE2E4F">
      <w:pPr>
        <w:pStyle w:val="a6"/>
        <w:ind w:left="360" w:firstLineChars="0" w:firstLine="0"/>
        <w:rPr>
          <w:lang w:val="sv-SE"/>
        </w:rPr>
      </w:pPr>
      <w:r>
        <w:rPr>
          <w:lang w:val="sv-SE"/>
        </w:rPr>
        <w:tab/>
        <w:t>- Option 3-2: UE to give up a certain ratio of uplink opportunities</w:t>
      </w:r>
      <w:r w:rsidR="00052F54">
        <w:rPr>
          <w:lang w:val="sv-SE"/>
        </w:rPr>
        <w:t xml:space="preserve"> for a certain duration to recover its margin for SAR compliance.</w:t>
      </w:r>
    </w:p>
    <w:p w14:paraId="358A1F9B" w14:textId="29B21AB6" w:rsidR="00052F54" w:rsidRDefault="00052F54" w:rsidP="00BE2E4F">
      <w:pPr>
        <w:pStyle w:val="a6"/>
        <w:ind w:left="360" w:firstLineChars="0" w:firstLine="0"/>
        <w:rPr>
          <w:lang w:val="sv-SE"/>
        </w:rPr>
      </w:pPr>
      <w:r>
        <w:rPr>
          <w:lang w:val="sv-SE"/>
        </w:rPr>
        <w:tab/>
        <w:t>- Option 3-3: UE to fall back to lower power class for a certain duration to recover its margin for SAR compliance.</w:t>
      </w:r>
    </w:p>
    <w:p w14:paraId="327CB0E0" w14:textId="7D2850CB" w:rsidR="00B04D01" w:rsidRDefault="00B04D01" w:rsidP="001E48F4">
      <w:pPr>
        <w:rPr>
          <w:lang w:val="sv-SE" w:eastAsia="zh-CN"/>
        </w:rPr>
      </w:pPr>
    </w:p>
    <w:p w14:paraId="0EB06CD1" w14:textId="5141EB22" w:rsidR="00052F54" w:rsidRDefault="00052F54" w:rsidP="001E48F4">
      <w:pPr>
        <w:rPr>
          <w:lang w:val="sv-SE" w:eastAsia="zh-CN"/>
        </w:rPr>
      </w:pPr>
      <w:r>
        <w:rPr>
          <w:rFonts w:hint="eastAsia"/>
          <w:lang w:val="sv-SE" w:eastAsia="zh-CN"/>
        </w:rPr>
        <w:t>F</w:t>
      </w:r>
      <w:r>
        <w:rPr>
          <w:lang w:val="sv-SE" w:eastAsia="zh-CN"/>
        </w:rPr>
        <w:t>rom above, we believe a TDD-like uplink ratio information from NW side seems critical in defining a duty cycle like SAR solution in 3GPP, otherwise the UE can monitor and maintain its own SAR performance with existing outside 3GPP technologies, and P-MPR can be simply used as baseline.</w:t>
      </w:r>
    </w:p>
    <w:p w14:paraId="68E64905" w14:textId="3B910D3A" w:rsidR="00052F54" w:rsidRDefault="00052F54" w:rsidP="001E48F4">
      <w:pPr>
        <w:rPr>
          <w:lang w:val="sv-SE" w:eastAsia="zh-CN"/>
        </w:rPr>
      </w:pPr>
      <w:r>
        <w:rPr>
          <w:lang w:val="sv-SE" w:eastAsia="zh-CN"/>
        </w:rPr>
        <w:t xml:space="preserve">And among the current NTN and FDD WI, the beam hopping information in NTN Phase 3 for coverage enhancement and energy saving seems the only TDM information which has the direct impact to the UE UL duty in time domain that probably will be spcified. </w:t>
      </w:r>
    </w:p>
    <w:p w14:paraId="46B55106" w14:textId="2BE12032" w:rsidR="00052F54" w:rsidRDefault="00052F54" w:rsidP="001E48F4">
      <w:pPr>
        <w:rPr>
          <w:lang w:val="sv-SE" w:eastAsia="zh-CN"/>
        </w:rPr>
      </w:pPr>
      <w:r>
        <w:rPr>
          <w:lang w:val="sv-SE" w:eastAsia="zh-CN"/>
        </w:rPr>
        <w:t>With this, we propose to use this beam hopping information as the UE uplink duty ratio in time domain if duty cycle-based SAR solution is to be specified.</w:t>
      </w:r>
    </w:p>
    <w:p w14:paraId="0BA10A1D" w14:textId="7153EFF4" w:rsidR="00052F54" w:rsidRPr="00052F54" w:rsidRDefault="00052F54" w:rsidP="001E48F4">
      <w:pPr>
        <w:rPr>
          <w:b/>
          <w:lang w:val="sv-SE" w:eastAsia="zh-CN"/>
        </w:rPr>
      </w:pPr>
      <w:r w:rsidRPr="00052F54">
        <w:rPr>
          <w:rFonts w:hint="eastAsia"/>
          <w:b/>
          <w:lang w:val="sv-SE" w:eastAsia="zh-CN"/>
        </w:rPr>
        <w:t>P</w:t>
      </w:r>
      <w:r w:rsidRPr="00052F54">
        <w:rPr>
          <w:b/>
          <w:lang w:val="sv-SE" w:eastAsia="zh-CN"/>
        </w:rPr>
        <w:t xml:space="preserve">roposal 3: </w:t>
      </w:r>
      <w:r>
        <w:rPr>
          <w:b/>
          <w:lang w:val="sv-SE" w:eastAsia="zh-CN"/>
        </w:rPr>
        <w:t>T</w:t>
      </w:r>
      <w:r w:rsidRPr="00052F54">
        <w:rPr>
          <w:b/>
          <w:lang w:val="sv-SE" w:eastAsia="zh-CN"/>
        </w:rPr>
        <w:t>o use beam hopping information as the UE uplink duty ratio in time domain if duty cycle-based SAR solution is to be specified.</w:t>
      </w:r>
      <w:r>
        <w:rPr>
          <w:b/>
          <w:lang w:val="sv-SE" w:eastAsia="zh-CN"/>
        </w:rPr>
        <w:t xml:space="preserve"> </w:t>
      </w:r>
    </w:p>
    <w:p w14:paraId="5F512E2B" w14:textId="59AF61B2" w:rsidR="00B04D01" w:rsidRPr="00052F54" w:rsidRDefault="00B04D01" w:rsidP="001E48F4">
      <w:pPr>
        <w:rPr>
          <w:lang w:val="sv-SE" w:eastAsia="zh-CN"/>
        </w:rPr>
      </w:pPr>
    </w:p>
    <w:p w14:paraId="3843D590" w14:textId="49EC8BBE" w:rsidR="00052F54" w:rsidRDefault="00052F54" w:rsidP="001E48F4">
      <w:pPr>
        <w:rPr>
          <w:lang w:val="sv-SE" w:eastAsia="zh-CN"/>
        </w:rPr>
      </w:pPr>
      <w:r>
        <w:rPr>
          <w:lang w:val="sv-SE" w:eastAsia="zh-CN"/>
        </w:rPr>
        <w:t xml:space="preserve">And </w:t>
      </w:r>
      <w:r w:rsidR="00D963DA">
        <w:rPr>
          <w:lang w:val="sv-SE" w:eastAsia="zh-CN"/>
        </w:rPr>
        <w:t>the above analysis for duty cycle solution is provided for further discussion:</w:t>
      </w:r>
    </w:p>
    <w:p w14:paraId="12B9C414" w14:textId="1B09921B" w:rsidR="00D963DA" w:rsidRPr="00D963DA" w:rsidRDefault="00D963DA" w:rsidP="001E48F4">
      <w:pPr>
        <w:rPr>
          <w:b/>
          <w:lang w:val="sv-SE" w:eastAsia="zh-CN"/>
        </w:rPr>
      </w:pPr>
      <w:r w:rsidRPr="00D963DA">
        <w:rPr>
          <w:b/>
          <w:lang w:val="sv-SE" w:eastAsia="zh-CN"/>
        </w:rPr>
        <w:lastRenderedPageBreak/>
        <w:t>Proposal 4: To consider following options in our analysis:</w:t>
      </w:r>
    </w:p>
    <w:p w14:paraId="375E8CD6" w14:textId="77777777" w:rsidR="00D963DA" w:rsidRPr="00D963DA" w:rsidRDefault="00D963DA" w:rsidP="00D963DA">
      <w:pPr>
        <w:rPr>
          <w:b/>
          <w:lang w:val="sv-SE" w:eastAsia="zh-CN"/>
        </w:rPr>
      </w:pPr>
      <w:r w:rsidRPr="00D963DA">
        <w:rPr>
          <w:b/>
          <w:lang w:val="sv-SE" w:eastAsia="zh-CN"/>
        </w:rPr>
        <w:t>With the above working assumption, if we go through the process from UE side:</w:t>
      </w:r>
    </w:p>
    <w:p w14:paraId="414DB54D" w14:textId="77777777" w:rsidR="00D963DA" w:rsidRPr="00D963DA" w:rsidRDefault="00D963DA" w:rsidP="00FE1105">
      <w:pPr>
        <w:pStyle w:val="a6"/>
        <w:numPr>
          <w:ilvl w:val="0"/>
          <w:numId w:val="2"/>
        </w:numPr>
        <w:ind w:firstLineChars="0"/>
        <w:rPr>
          <w:b/>
          <w:lang w:val="sv-SE"/>
        </w:rPr>
      </w:pPr>
      <w:r w:rsidRPr="00D963DA">
        <w:rPr>
          <w:rFonts w:hint="eastAsia"/>
          <w:b/>
          <w:lang w:val="sv-SE"/>
        </w:rPr>
        <w:t>U</w:t>
      </w:r>
      <w:r w:rsidRPr="00D963DA">
        <w:rPr>
          <w:b/>
          <w:lang w:val="sv-SE"/>
        </w:rPr>
        <w:t>E acknowledged a TDD-like uplink ratio that current cell or beam utilized (from TDM beam hopping information);</w:t>
      </w:r>
    </w:p>
    <w:p w14:paraId="5D31105B" w14:textId="77777777" w:rsidR="00D963DA" w:rsidRPr="00D963DA" w:rsidRDefault="00D963DA" w:rsidP="00FE1105">
      <w:pPr>
        <w:pStyle w:val="a6"/>
        <w:numPr>
          <w:ilvl w:val="0"/>
          <w:numId w:val="2"/>
        </w:numPr>
        <w:ind w:firstLineChars="0"/>
        <w:rPr>
          <w:b/>
          <w:lang w:val="sv-SE"/>
        </w:rPr>
      </w:pPr>
      <w:r w:rsidRPr="00D963DA">
        <w:rPr>
          <w:rFonts w:hint="eastAsia"/>
          <w:b/>
          <w:lang w:val="sv-SE"/>
        </w:rPr>
        <w:t>U</w:t>
      </w:r>
      <w:r w:rsidRPr="00D963DA">
        <w:rPr>
          <w:b/>
          <w:lang w:val="sv-SE"/>
        </w:rPr>
        <w:t>E report its power class and associated maxUplinkDutyCycle;</w:t>
      </w:r>
    </w:p>
    <w:p w14:paraId="3E4D548A" w14:textId="77777777" w:rsidR="00D963DA" w:rsidRPr="00D963DA" w:rsidRDefault="00D963DA" w:rsidP="00FE1105">
      <w:pPr>
        <w:pStyle w:val="a6"/>
        <w:numPr>
          <w:ilvl w:val="0"/>
          <w:numId w:val="2"/>
        </w:numPr>
        <w:ind w:firstLineChars="0"/>
        <w:rPr>
          <w:b/>
          <w:lang w:val="sv-SE"/>
        </w:rPr>
      </w:pPr>
      <w:r w:rsidRPr="00D963DA">
        <w:rPr>
          <w:b/>
          <w:lang w:val="sv-SE"/>
        </w:rPr>
        <w:t xml:space="preserve">UE </w:t>
      </w:r>
      <w:r w:rsidRPr="00D963DA">
        <w:rPr>
          <w:rFonts w:hint="eastAsia"/>
          <w:b/>
          <w:lang w:val="sv-SE"/>
        </w:rPr>
        <w:t>t</w:t>
      </w:r>
      <w:r w:rsidRPr="00D963DA">
        <w:rPr>
          <w:b/>
          <w:lang w:val="sv-SE"/>
        </w:rPr>
        <w:t>o not consider P-MPR in power configuration;</w:t>
      </w:r>
    </w:p>
    <w:p w14:paraId="37B11809" w14:textId="77777777" w:rsidR="00D963DA" w:rsidRPr="00D963DA" w:rsidRDefault="00D963DA" w:rsidP="00FE1105">
      <w:pPr>
        <w:pStyle w:val="a6"/>
        <w:numPr>
          <w:ilvl w:val="0"/>
          <w:numId w:val="2"/>
        </w:numPr>
        <w:ind w:firstLineChars="0"/>
        <w:rPr>
          <w:b/>
          <w:lang w:val="sv-SE"/>
        </w:rPr>
      </w:pPr>
      <w:r w:rsidRPr="00D963DA">
        <w:rPr>
          <w:rFonts w:hint="eastAsia"/>
          <w:b/>
          <w:lang w:val="sv-SE"/>
        </w:rPr>
        <w:t>O</w:t>
      </w:r>
      <w:r w:rsidRPr="00D963DA">
        <w:rPr>
          <w:b/>
          <w:lang w:val="sv-SE"/>
        </w:rPr>
        <w:t>ption 1: UE to fall back power classes based on information above (</w:t>
      </w:r>
      <w:r w:rsidRPr="00D963DA">
        <w:rPr>
          <w:b/>
          <w:lang w:val="sv-SE"/>
        </w:rPr>
        <w:sym w:font="Wingdings" w:char="F0E0"/>
      </w:r>
      <w:r w:rsidRPr="00D963DA">
        <w:rPr>
          <w:b/>
          <w:lang w:val="sv-SE"/>
        </w:rPr>
        <w:t xml:space="preserve"> legacy duty cycle solution, not quite aligned with purpose to transmit as much and as long as possible)</w:t>
      </w:r>
    </w:p>
    <w:p w14:paraId="1FF3EC4F" w14:textId="77777777" w:rsidR="00D963DA" w:rsidRPr="00D963DA" w:rsidRDefault="00D963DA" w:rsidP="00D963DA">
      <w:pPr>
        <w:pStyle w:val="a6"/>
        <w:ind w:left="360" w:firstLineChars="0" w:firstLine="0"/>
        <w:rPr>
          <w:b/>
          <w:lang w:val="sv-SE"/>
        </w:rPr>
      </w:pPr>
      <w:r w:rsidRPr="00D963DA">
        <w:rPr>
          <w:b/>
          <w:lang w:val="sv-SE"/>
        </w:rPr>
        <w:t>Option 2: UE to fall back several dB but not entire power class, based on information above (</w:t>
      </w:r>
      <w:r w:rsidRPr="00D963DA">
        <w:rPr>
          <w:b/>
          <w:lang w:val="sv-SE"/>
        </w:rPr>
        <w:sym w:font="Wingdings" w:char="F0E0"/>
      </w:r>
      <w:r w:rsidRPr="00D963DA">
        <w:rPr>
          <w:b/>
          <w:lang w:val="sv-SE"/>
        </w:rPr>
        <w:t xml:space="preserve"> technically UE can reach more power than Option 1)</w:t>
      </w:r>
    </w:p>
    <w:p w14:paraId="6BBD60C6" w14:textId="77777777" w:rsidR="00D963DA" w:rsidRPr="00D963DA" w:rsidRDefault="00D963DA" w:rsidP="00D963DA">
      <w:pPr>
        <w:pStyle w:val="a6"/>
        <w:ind w:left="360" w:firstLineChars="0" w:firstLine="0"/>
        <w:rPr>
          <w:b/>
          <w:lang w:val="sv-SE"/>
        </w:rPr>
      </w:pPr>
      <w:r w:rsidRPr="00D963DA">
        <w:rPr>
          <w:b/>
          <w:lang w:val="sv-SE"/>
        </w:rPr>
        <w:t xml:space="preserve">Option 3: UE to not fall back any power, but to monitor SAR by itself. </w:t>
      </w:r>
      <w:r w:rsidRPr="00D963DA">
        <w:rPr>
          <w:rFonts w:hint="eastAsia"/>
          <w:b/>
          <w:lang w:val="sv-SE"/>
        </w:rPr>
        <w:t>(</w:t>
      </w:r>
      <w:r w:rsidRPr="00D963DA">
        <w:rPr>
          <w:b/>
          <w:lang w:val="sv-SE"/>
        </w:rPr>
        <w:sym w:font="Wingdings" w:char="F0E0"/>
      </w:r>
      <w:r w:rsidRPr="00D963DA">
        <w:rPr>
          <w:b/>
          <w:lang w:val="sv-SE"/>
        </w:rPr>
        <w:t xml:space="preserve"> In this case, UE may fall into the situation that it reached the bar for SAR compliance.)</w:t>
      </w:r>
    </w:p>
    <w:p w14:paraId="5B36701C" w14:textId="77777777" w:rsidR="00D963DA" w:rsidRPr="00D963DA" w:rsidRDefault="00D963DA" w:rsidP="00D963DA">
      <w:pPr>
        <w:pStyle w:val="a6"/>
        <w:ind w:left="360" w:firstLineChars="0" w:firstLine="0"/>
        <w:rPr>
          <w:b/>
          <w:lang w:val="sv-SE"/>
        </w:rPr>
      </w:pPr>
      <w:r w:rsidRPr="00D963DA">
        <w:rPr>
          <w:b/>
          <w:lang w:val="sv-SE"/>
        </w:rPr>
        <w:tab/>
        <w:t>- Option 3-1: UE to enter something like a DTx pattern, or UL Gap pattern for a certain duration.</w:t>
      </w:r>
    </w:p>
    <w:p w14:paraId="5277B677" w14:textId="77777777" w:rsidR="00D963DA" w:rsidRPr="00D963DA" w:rsidRDefault="00D963DA" w:rsidP="00D963DA">
      <w:pPr>
        <w:pStyle w:val="a6"/>
        <w:ind w:left="360" w:firstLineChars="0" w:firstLine="0"/>
        <w:rPr>
          <w:b/>
          <w:lang w:val="sv-SE"/>
        </w:rPr>
      </w:pPr>
      <w:r w:rsidRPr="00D963DA">
        <w:rPr>
          <w:b/>
          <w:lang w:val="sv-SE"/>
        </w:rPr>
        <w:tab/>
        <w:t>- Option 3-2: UE to give up a certain ratio of uplink opportunities for a certain duration to recover its margin for SAR compliance.</w:t>
      </w:r>
    </w:p>
    <w:p w14:paraId="559FDA55" w14:textId="77777777" w:rsidR="00D963DA" w:rsidRPr="00D963DA" w:rsidRDefault="00D963DA" w:rsidP="00D963DA">
      <w:pPr>
        <w:pStyle w:val="a6"/>
        <w:ind w:left="360" w:firstLineChars="0" w:firstLine="0"/>
        <w:rPr>
          <w:b/>
          <w:lang w:val="sv-SE"/>
        </w:rPr>
      </w:pPr>
      <w:r w:rsidRPr="00D963DA">
        <w:rPr>
          <w:b/>
          <w:lang w:val="sv-SE"/>
        </w:rPr>
        <w:tab/>
        <w:t>- Option 3-3: UE to fall back to lower power class for a certain duration to recover its margin for SAR compliance.</w:t>
      </w:r>
    </w:p>
    <w:p w14:paraId="3CA67A52" w14:textId="77777777" w:rsidR="00052F54" w:rsidRPr="00BE7D3D" w:rsidRDefault="00052F54" w:rsidP="001E48F4">
      <w:pPr>
        <w:rPr>
          <w:lang w:val="sv-SE" w:eastAsia="zh-CN"/>
        </w:rPr>
      </w:pPr>
    </w:p>
    <w:p w14:paraId="08857DE8" w14:textId="48D62904" w:rsidR="009B1101" w:rsidRPr="00D64FA5" w:rsidRDefault="001B744A" w:rsidP="009B1101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 w:rsidR="009B1101">
        <w:rPr>
          <w:lang w:val="en-US"/>
        </w:rPr>
        <w:tab/>
      </w:r>
      <w:r w:rsidR="009B1101" w:rsidRPr="00D64FA5">
        <w:rPr>
          <w:lang w:val="en-US"/>
        </w:rPr>
        <w:t>Conclusion</w:t>
      </w:r>
    </w:p>
    <w:p w14:paraId="043BEFF9" w14:textId="622F34FE" w:rsidR="009B1101" w:rsidRDefault="009B1101" w:rsidP="009B1101">
      <w:r>
        <w:rPr>
          <w:rFonts w:hint="eastAsia"/>
          <w:lang w:eastAsia="ja-JP"/>
        </w:rPr>
        <w:t xml:space="preserve">For </w:t>
      </w:r>
      <w:r w:rsidR="00D963DA">
        <w:rPr>
          <w:rFonts w:hint="eastAsia"/>
          <w:lang w:eastAsia="zh-CN"/>
        </w:rPr>
        <w:t>IoT</w:t>
      </w:r>
      <w:r w:rsidR="003959C2">
        <w:rPr>
          <w:lang w:eastAsia="ja-JP"/>
        </w:rPr>
        <w:t>-</w:t>
      </w:r>
      <w:r>
        <w:rPr>
          <w:lang w:eastAsia="zh-CN"/>
        </w:rPr>
        <w:t xml:space="preserve">NTN HPUE </w:t>
      </w:r>
      <w:r w:rsidR="003959C2">
        <w:rPr>
          <w:lang w:eastAsia="zh-CN"/>
        </w:rPr>
        <w:t>Tx requirements</w:t>
      </w:r>
      <w:r w:rsidR="00D963DA">
        <w:rPr>
          <w:lang w:eastAsia="zh-CN"/>
        </w:rPr>
        <w:t xml:space="preserve"> and handheld SAR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 w:rsidR="0090470B">
        <w:t>:</w:t>
      </w:r>
    </w:p>
    <w:p w14:paraId="4A102591" w14:textId="18B258E6" w:rsidR="00D963DA" w:rsidRDefault="00D963DA" w:rsidP="00D963DA">
      <w:pPr>
        <w:rPr>
          <w:lang w:val="sv-SE" w:eastAsia="zh-CN"/>
        </w:rPr>
      </w:pPr>
      <w:r w:rsidRPr="00136B98">
        <w:rPr>
          <w:b/>
          <w:lang w:val="sv-SE" w:eastAsia="zh-CN"/>
        </w:rPr>
        <w:t>Observation 1</w:t>
      </w:r>
      <w:r>
        <w:rPr>
          <w:lang w:val="sv-SE" w:eastAsia="zh-CN"/>
        </w:rPr>
        <w:t>: The required ACLR from co-ex study are below 25 dB for up to PC1 for IoT-NTN regardless of isolation distance.</w:t>
      </w:r>
    </w:p>
    <w:p w14:paraId="1991BAC6" w14:textId="77777777" w:rsidR="00D963DA" w:rsidRPr="00136B98" w:rsidRDefault="00D963DA" w:rsidP="00D963DA">
      <w:pPr>
        <w:rPr>
          <w:b/>
          <w:lang w:val="sv-SE" w:eastAsia="zh-CN"/>
        </w:rPr>
      </w:pPr>
      <w:r w:rsidRPr="00136B98">
        <w:rPr>
          <w:b/>
          <w:lang w:val="sv-SE" w:eastAsia="zh-CN"/>
        </w:rPr>
        <w:t>Proposal 1: To re-use the PC3 NB-IoT NTN ACLR for IoT-NTN PC2 and PC1, if specified.</w:t>
      </w:r>
    </w:p>
    <w:p w14:paraId="0D092EF3" w14:textId="06B6FB00" w:rsidR="00D963DA" w:rsidRDefault="00D963DA" w:rsidP="00D963DA">
      <w:pPr>
        <w:rPr>
          <w:lang w:val="sv-SE" w:eastAsia="zh-CN"/>
        </w:rPr>
      </w:pPr>
    </w:p>
    <w:p w14:paraId="63394C95" w14:textId="77777777" w:rsidR="00D963DA" w:rsidRDefault="00D963DA" w:rsidP="00D963DA">
      <w:pPr>
        <w:rPr>
          <w:b/>
          <w:lang w:val="sv-SE" w:eastAsia="zh-CN"/>
        </w:rPr>
      </w:pPr>
      <w:r w:rsidRPr="00B04D01">
        <w:rPr>
          <w:rFonts w:hint="eastAsia"/>
          <w:b/>
          <w:lang w:val="sv-SE" w:eastAsia="zh-CN"/>
        </w:rPr>
        <w:t>P</w:t>
      </w:r>
      <w:r w:rsidRPr="00B04D01">
        <w:rPr>
          <w:b/>
          <w:lang w:val="sv-SE" w:eastAsia="zh-CN"/>
        </w:rPr>
        <w:t xml:space="preserve">roposal 2: </w:t>
      </w:r>
      <w:r>
        <w:rPr>
          <w:b/>
          <w:lang w:val="sv-SE" w:eastAsia="zh-CN"/>
        </w:rPr>
        <w:t>To consider following working assumptions for discussing a SAR solution other than baseline P-MPR or non-3GPP tech:</w:t>
      </w:r>
    </w:p>
    <w:p w14:paraId="0C3E8748" w14:textId="77777777" w:rsidR="00D963DA" w:rsidRPr="00BE2E4F" w:rsidRDefault="00D963DA" w:rsidP="00D963DA">
      <w:pPr>
        <w:rPr>
          <w:b/>
          <w:lang w:val="sv-SE" w:eastAsia="zh-CN"/>
        </w:rPr>
      </w:pPr>
      <w:r w:rsidRPr="00BE2E4F">
        <w:rPr>
          <w:b/>
          <w:lang w:val="sv-SE" w:eastAsia="zh-CN"/>
        </w:rPr>
        <w:t>- UE to transmit in its declared power class nominal power, without applying P-MPR, as much as it can. (Otherwise, it’s P-MPR baseline solution)</w:t>
      </w:r>
    </w:p>
    <w:p w14:paraId="55D897FE" w14:textId="77777777" w:rsidR="00D963DA" w:rsidRPr="00BE2E4F" w:rsidRDefault="00D963DA" w:rsidP="00D963DA">
      <w:pPr>
        <w:rPr>
          <w:b/>
          <w:lang w:val="sv-SE" w:eastAsia="zh-CN"/>
        </w:rPr>
      </w:pPr>
      <w:r w:rsidRPr="00BE2E4F">
        <w:rPr>
          <w:b/>
          <w:lang w:val="sv-SE" w:eastAsia="zh-CN"/>
        </w:rPr>
        <w:t>- UE to take responsibility of its own SAR monitoring, but to fall back as less as possible. (Not possible for NW to take reponsibility of UE SAR compliance)</w:t>
      </w:r>
    </w:p>
    <w:p w14:paraId="714BC602" w14:textId="77777777" w:rsidR="00D963DA" w:rsidRPr="00BE2E4F" w:rsidRDefault="00D963DA" w:rsidP="00D963DA">
      <w:pPr>
        <w:rPr>
          <w:b/>
          <w:lang w:val="sv-SE" w:eastAsia="zh-CN"/>
        </w:rPr>
      </w:pPr>
      <w:r w:rsidRPr="00BE2E4F">
        <w:rPr>
          <w:b/>
          <w:lang w:val="sv-SE" w:eastAsia="zh-CN"/>
        </w:rPr>
        <w:t>- There is a NW indication about the uplink duty ratio for a beam or a cell. (NTN_Phase3 is working on beam hopping, and each beam will have different level of service chance in TDM hopping pattern.)</w:t>
      </w:r>
    </w:p>
    <w:p w14:paraId="02F839A9" w14:textId="77777777" w:rsidR="00D963DA" w:rsidRPr="00BE2E4F" w:rsidRDefault="00D963DA" w:rsidP="00D963DA">
      <w:pPr>
        <w:rPr>
          <w:b/>
          <w:lang w:val="sv-SE" w:eastAsia="zh-CN"/>
        </w:rPr>
      </w:pPr>
      <w:r w:rsidRPr="00BE2E4F">
        <w:rPr>
          <w:b/>
          <w:lang w:val="sv-SE" w:eastAsia="zh-CN"/>
        </w:rPr>
        <w:t>- UE to report to NW about it’s decision, and this decision needs to be specified (otherwise it’s non 3GPP method)</w:t>
      </w:r>
    </w:p>
    <w:p w14:paraId="34C7E3E6" w14:textId="07C8B07C" w:rsidR="00D963DA" w:rsidRDefault="00D963DA" w:rsidP="00D963DA">
      <w:pPr>
        <w:rPr>
          <w:lang w:val="sv-SE" w:eastAsia="zh-CN"/>
        </w:rPr>
      </w:pPr>
    </w:p>
    <w:p w14:paraId="2ACE9C6C" w14:textId="77777777" w:rsidR="00D963DA" w:rsidRPr="00052F54" w:rsidRDefault="00D963DA" w:rsidP="00D963DA">
      <w:pPr>
        <w:rPr>
          <w:b/>
          <w:lang w:val="sv-SE" w:eastAsia="zh-CN"/>
        </w:rPr>
      </w:pPr>
      <w:r w:rsidRPr="00052F54">
        <w:rPr>
          <w:rFonts w:hint="eastAsia"/>
          <w:b/>
          <w:lang w:val="sv-SE" w:eastAsia="zh-CN"/>
        </w:rPr>
        <w:t>P</w:t>
      </w:r>
      <w:r w:rsidRPr="00052F54">
        <w:rPr>
          <w:b/>
          <w:lang w:val="sv-SE" w:eastAsia="zh-CN"/>
        </w:rPr>
        <w:t xml:space="preserve">roposal 3: </w:t>
      </w:r>
      <w:r>
        <w:rPr>
          <w:b/>
          <w:lang w:val="sv-SE" w:eastAsia="zh-CN"/>
        </w:rPr>
        <w:t>T</w:t>
      </w:r>
      <w:r w:rsidRPr="00052F54">
        <w:rPr>
          <w:b/>
          <w:lang w:val="sv-SE" w:eastAsia="zh-CN"/>
        </w:rPr>
        <w:t>o use beam hopping information as the UE uplink duty ratio in time domain if duty cycle-based SAR solution is to be specified.</w:t>
      </w:r>
      <w:r>
        <w:rPr>
          <w:b/>
          <w:lang w:val="sv-SE" w:eastAsia="zh-CN"/>
        </w:rPr>
        <w:t xml:space="preserve"> </w:t>
      </w:r>
    </w:p>
    <w:p w14:paraId="39273F58" w14:textId="5353A3EA" w:rsidR="00D963DA" w:rsidRDefault="00D963DA" w:rsidP="00D963DA">
      <w:pPr>
        <w:rPr>
          <w:lang w:val="sv-SE" w:eastAsia="zh-CN"/>
        </w:rPr>
      </w:pPr>
    </w:p>
    <w:p w14:paraId="56583A92" w14:textId="77777777" w:rsidR="00D963DA" w:rsidRPr="00D963DA" w:rsidRDefault="00D963DA" w:rsidP="00D963DA">
      <w:pPr>
        <w:rPr>
          <w:b/>
          <w:lang w:val="sv-SE" w:eastAsia="zh-CN"/>
        </w:rPr>
      </w:pPr>
      <w:r w:rsidRPr="00D963DA">
        <w:rPr>
          <w:b/>
          <w:lang w:val="sv-SE" w:eastAsia="zh-CN"/>
        </w:rPr>
        <w:lastRenderedPageBreak/>
        <w:t>Proposal 4: To consider following options in our analysis:</w:t>
      </w:r>
    </w:p>
    <w:p w14:paraId="11CBDD5E" w14:textId="77777777" w:rsidR="00D963DA" w:rsidRPr="00D963DA" w:rsidRDefault="00D963DA" w:rsidP="00D963DA">
      <w:pPr>
        <w:rPr>
          <w:b/>
          <w:lang w:val="sv-SE" w:eastAsia="zh-CN"/>
        </w:rPr>
      </w:pPr>
      <w:r w:rsidRPr="00D963DA">
        <w:rPr>
          <w:b/>
          <w:lang w:val="sv-SE" w:eastAsia="zh-CN"/>
        </w:rPr>
        <w:t>With the above working assumption, if we go through the process from UE side:</w:t>
      </w:r>
    </w:p>
    <w:p w14:paraId="54F808F5" w14:textId="77777777" w:rsidR="00D963DA" w:rsidRPr="00D963DA" w:rsidRDefault="00D963DA" w:rsidP="00FE1105">
      <w:pPr>
        <w:pStyle w:val="a6"/>
        <w:numPr>
          <w:ilvl w:val="0"/>
          <w:numId w:val="3"/>
        </w:numPr>
        <w:ind w:firstLineChars="0"/>
        <w:rPr>
          <w:b/>
          <w:lang w:val="sv-SE"/>
        </w:rPr>
      </w:pPr>
      <w:r w:rsidRPr="00D963DA">
        <w:rPr>
          <w:rFonts w:hint="eastAsia"/>
          <w:b/>
          <w:lang w:val="sv-SE"/>
        </w:rPr>
        <w:t>U</w:t>
      </w:r>
      <w:r w:rsidRPr="00D963DA">
        <w:rPr>
          <w:b/>
          <w:lang w:val="sv-SE"/>
        </w:rPr>
        <w:t>E acknowledged a TDD-like uplink ratio that current cell or beam utilized (from TDM beam hopping information);</w:t>
      </w:r>
    </w:p>
    <w:p w14:paraId="4A7C867B" w14:textId="77777777" w:rsidR="00D963DA" w:rsidRPr="00D963DA" w:rsidRDefault="00D963DA" w:rsidP="00FE1105">
      <w:pPr>
        <w:pStyle w:val="a6"/>
        <w:numPr>
          <w:ilvl w:val="0"/>
          <w:numId w:val="3"/>
        </w:numPr>
        <w:ind w:firstLineChars="0"/>
        <w:rPr>
          <w:b/>
          <w:lang w:val="sv-SE"/>
        </w:rPr>
      </w:pPr>
      <w:r w:rsidRPr="00D963DA">
        <w:rPr>
          <w:rFonts w:hint="eastAsia"/>
          <w:b/>
          <w:lang w:val="sv-SE"/>
        </w:rPr>
        <w:t>U</w:t>
      </w:r>
      <w:r w:rsidRPr="00D963DA">
        <w:rPr>
          <w:b/>
          <w:lang w:val="sv-SE"/>
        </w:rPr>
        <w:t>E report its power class and associated maxUplinkDutyCycle;</w:t>
      </w:r>
    </w:p>
    <w:p w14:paraId="263FF09B" w14:textId="77777777" w:rsidR="00D963DA" w:rsidRPr="00D963DA" w:rsidRDefault="00D963DA" w:rsidP="00FE1105">
      <w:pPr>
        <w:pStyle w:val="a6"/>
        <w:numPr>
          <w:ilvl w:val="0"/>
          <w:numId w:val="3"/>
        </w:numPr>
        <w:ind w:firstLineChars="0"/>
        <w:rPr>
          <w:b/>
          <w:lang w:val="sv-SE"/>
        </w:rPr>
      </w:pPr>
      <w:r w:rsidRPr="00D963DA">
        <w:rPr>
          <w:b/>
          <w:lang w:val="sv-SE"/>
        </w:rPr>
        <w:t xml:space="preserve">UE </w:t>
      </w:r>
      <w:r w:rsidRPr="00D963DA">
        <w:rPr>
          <w:rFonts w:hint="eastAsia"/>
          <w:b/>
          <w:lang w:val="sv-SE"/>
        </w:rPr>
        <w:t>t</w:t>
      </w:r>
      <w:r w:rsidRPr="00D963DA">
        <w:rPr>
          <w:b/>
          <w:lang w:val="sv-SE"/>
        </w:rPr>
        <w:t>o not consider P-MPR in power configuration;</w:t>
      </w:r>
    </w:p>
    <w:p w14:paraId="7DFE2E91" w14:textId="77777777" w:rsidR="00D963DA" w:rsidRPr="00D963DA" w:rsidRDefault="00D963DA" w:rsidP="00FE1105">
      <w:pPr>
        <w:pStyle w:val="a6"/>
        <w:numPr>
          <w:ilvl w:val="0"/>
          <w:numId w:val="3"/>
        </w:numPr>
        <w:ind w:firstLineChars="0"/>
        <w:rPr>
          <w:b/>
          <w:lang w:val="sv-SE"/>
        </w:rPr>
      </w:pPr>
      <w:r w:rsidRPr="00D963DA">
        <w:rPr>
          <w:rFonts w:hint="eastAsia"/>
          <w:b/>
          <w:lang w:val="sv-SE"/>
        </w:rPr>
        <w:t>O</w:t>
      </w:r>
      <w:r w:rsidRPr="00D963DA">
        <w:rPr>
          <w:b/>
          <w:lang w:val="sv-SE"/>
        </w:rPr>
        <w:t>ption 1: UE to fall back power classes based on information above (</w:t>
      </w:r>
      <w:r w:rsidRPr="00D963DA">
        <w:rPr>
          <w:b/>
          <w:lang w:val="sv-SE"/>
        </w:rPr>
        <w:sym w:font="Wingdings" w:char="F0E0"/>
      </w:r>
      <w:r w:rsidRPr="00D963DA">
        <w:rPr>
          <w:b/>
          <w:lang w:val="sv-SE"/>
        </w:rPr>
        <w:t xml:space="preserve"> legacy duty cycle solution, not quite aligned with purpose to transmit as much and as long as possible)</w:t>
      </w:r>
    </w:p>
    <w:p w14:paraId="1B4D5CBA" w14:textId="77777777" w:rsidR="00D963DA" w:rsidRPr="00D963DA" w:rsidRDefault="00D963DA" w:rsidP="00D963DA">
      <w:pPr>
        <w:pStyle w:val="a6"/>
        <w:ind w:left="360" w:firstLineChars="0" w:firstLine="0"/>
        <w:rPr>
          <w:b/>
          <w:lang w:val="sv-SE"/>
        </w:rPr>
      </w:pPr>
      <w:r w:rsidRPr="00D963DA">
        <w:rPr>
          <w:b/>
          <w:lang w:val="sv-SE"/>
        </w:rPr>
        <w:t>Option 2: UE to fall back several dB but not entire power class, based on information above (</w:t>
      </w:r>
      <w:r w:rsidRPr="00D963DA">
        <w:rPr>
          <w:b/>
          <w:lang w:val="sv-SE"/>
        </w:rPr>
        <w:sym w:font="Wingdings" w:char="F0E0"/>
      </w:r>
      <w:r w:rsidRPr="00D963DA">
        <w:rPr>
          <w:b/>
          <w:lang w:val="sv-SE"/>
        </w:rPr>
        <w:t xml:space="preserve"> technically UE can reach more power than Option 1)</w:t>
      </w:r>
    </w:p>
    <w:p w14:paraId="01EAFC5A" w14:textId="77777777" w:rsidR="00D963DA" w:rsidRPr="00D963DA" w:rsidRDefault="00D963DA" w:rsidP="00D963DA">
      <w:pPr>
        <w:pStyle w:val="a6"/>
        <w:ind w:left="360" w:firstLineChars="0" w:firstLine="0"/>
        <w:rPr>
          <w:b/>
          <w:lang w:val="sv-SE"/>
        </w:rPr>
      </w:pPr>
      <w:r w:rsidRPr="00D963DA">
        <w:rPr>
          <w:b/>
          <w:lang w:val="sv-SE"/>
        </w:rPr>
        <w:t xml:space="preserve">Option 3: UE to not fall back any power, but to monitor SAR by itself. </w:t>
      </w:r>
      <w:r w:rsidRPr="00D963DA">
        <w:rPr>
          <w:rFonts w:hint="eastAsia"/>
          <w:b/>
          <w:lang w:val="sv-SE"/>
        </w:rPr>
        <w:t>(</w:t>
      </w:r>
      <w:r w:rsidRPr="00D963DA">
        <w:rPr>
          <w:b/>
          <w:lang w:val="sv-SE"/>
        </w:rPr>
        <w:sym w:font="Wingdings" w:char="F0E0"/>
      </w:r>
      <w:r w:rsidRPr="00D963DA">
        <w:rPr>
          <w:b/>
          <w:lang w:val="sv-SE"/>
        </w:rPr>
        <w:t xml:space="preserve"> In this case, UE may fall into the situation that it reached the bar for SAR compliance.)</w:t>
      </w:r>
    </w:p>
    <w:p w14:paraId="2EDFC5B0" w14:textId="77777777" w:rsidR="00D963DA" w:rsidRPr="00D963DA" w:rsidRDefault="00D963DA" w:rsidP="00D963DA">
      <w:pPr>
        <w:pStyle w:val="a6"/>
        <w:ind w:left="360" w:firstLineChars="0" w:firstLine="0"/>
        <w:rPr>
          <w:b/>
          <w:lang w:val="sv-SE"/>
        </w:rPr>
      </w:pPr>
      <w:r w:rsidRPr="00D963DA">
        <w:rPr>
          <w:b/>
          <w:lang w:val="sv-SE"/>
        </w:rPr>
        <w:tab/>
        <w:t>- Option 3-1: UE to enter something like a DTx pattern, or UL Gap pattern for a certain duration.</w:t>
      </w:r>
    </w:p>
    <w:p w14:paraId="59AFC53C" w14:textId="77777777" w:rsidR="00D963DA" w:rsidRPr="00D963DA" w:rsidRDefault="00D963DA" w:rsidP="00D963DA">
      <w:pPr>
        <w:pStyle w:val="a6"/>
        <w:ind w:left="360" w:firstLineChars="0" w:firstLine="0"/>
        <w:rPr>
          <w:b/>
          <w:lang w:val="sv-SE"/>
        </w:rPr>
      </w:pPr>
      <w:r w:rsidRPr="00D963DA">
        <w:rPr>
          <w:b/>
          <w:lang w:val="sv-SE"/>
        </w:rPr>
        <w:tab/>
        <w:t>- Option 3-2: UE to give up a certain ratio of uplink opportunities for a certain duration to recover its margin for SAR compliance.</w:t>
      </w:r>
    </w:p>
    <w:p w14:paraId="472E668A" w14:textId="77777777" w:rsidR="00D963DA" w:rsidRPr="00D963DA" w:rsidRDefault="00D963DA" w:rsidP="00D963DA">
      <w:pPr>
        <w:pStyle w:val="a6"/>
        <w:ind w:left="360" w:firstLineChars="0" w:firstLine="0"/>
        <w:rPr>
          <w:b/>
          <w:lang w:val="sv-SE"/>
        </w:rPr>
      </w:pPr>
      <w:r w:rsidRPr="00D963DA">
        <w:rPr>
          <w:b/>
          <w:lang w:val="sv-SE"/>
        </w:rPr>
        <w:tab/>
        <w:t>- Option 3-3: UE to fall back to lower power class for a certain duration to recover its margin for SAR compliance.</w:t>
      </w:r>
    </w:p>
    <w:p w14:paraId="1DD34650" w14:textId="77777777" w:rsidR="00D963DA" w:rsidRPr="00D963DA" w:rsidRDefault="00D963DA" w:rsidP="00D963DA">
      <w:pPr>
        <w:rPr>
          <w:lang w:val="sv-SE" w:eastAsia="zh-CN"/>
        </w:rPr>
      </w:pPr>
    </w:p>
    <w:p w14:paraId="15C90359" w14:textId="31A2A868" w:rsidR="009B1101" w:rsidRPr="0042663F" w:rsidRDefault="00FB4EC2" w:rsidP="009B1101">
      <w:pPr>
        <w:pStyle w:val="1"/>
        <w:jc w:val="both"/>
        <w:rPr>
          <w:lang w:val="en-US"/>
        </w:rPr>
      </w:pPr>
      <w:r>
        <w:rPr>
          <w:lang w:val="en-US" w:eastAsia="zh-CN"/>
        </w:rPr>
        <w:t>5</w:t>
      </w:r>
      <w:r w:rsidR="009B1101">
        <w:rPr>
          <w:lang w:val="en-US"/>
        </w:rPr>
        <w:tab/>
      </w:r>
      <w:r w:rsidR="009B1101" w:rsidRPr="0042663F">
        <w:rPr>
          <w:lang w:val="en-US"/>
        </w:rPr>
        <w:t>Reference</w:t>
      </w:r>
    </w:p>
    <w:p w14:paraId="3097086F" w14:textId="0AED0320" w:rsidR="0079615B" w:rsidRDefault="0079615B" w:rsidP="00EF3EFD">
      <w:pPr>
        <w:rPr>
          <w:lang w:val="sv-SE" w:eastAsia="zh-CN"/>
        </w:rPr>
      </w:pPr>
      <w:r>
        <w:rPr>
          <w:lang w:val="sv-SE" w:eastAsia="zh-CN"/>
        </w:rPr>
        <w:t>[</w:t>
      </w:r>
      <w:r w:rsidR="007709A7">
        <w:rPr>
          <w:lang w:val="sv-SE" w:eastAsia="zh-CN"/>
        </w:rPr>
        <w:t>1</w:t>
      </w:r>
      <w:r>
        <w:rPr>
          <w:lang w:val="sv-SE" w:eastAsia="zh-CN"/>
        </w:rPr>
        <w:t>] R4-2420403, WF on NR NTN HPUE, Samsung</w:t>
      </w:r>
    </w:p>
    <w:p w14:paraId="419D9B7F" w14:textId="402068D7" w:rsidR="001E48F4" w:rsidRDefault="001E48F4" w:rsidP="00EF3EFD">
      <w:pPr>
        <w:rPr>
          <w:lang w:val="sv-SE" w:eastAsia="zh-CN"/>
        </w:rPr>
      </w:pPr>
      <w:r>
        <w:rPr>
          <w:lang w:val="sv-SE" w:eastAsia="zh-CN"/>
        </w:rPr>
        <w:t>[2] R4-2420404, WF on HPUE for IoT NTN, vivo</w:t>
      </w:r>
    </w:p>
    <w:p w14:paraId="6370EBB6" w14:textId="1115CFE4" w:rsidR="00534556" w:rsidRPr="000B3968" w:rsidRDefault="00534556" w:rsidP="00EF3EFD">
      <w:pPr>
        <w:rPr>
          <w:lang w:val="sv-SE" w:eastAsia="zh-CN"/>
        </w:rPr>
      </w:pPr>
    </w:p>
    <w:sectPr w:rsidR="00534556" w:rsidRPr="000B3968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0BF87" w14:textId="77777777" w:rsidR="002858E5" w:rsidRDefault="002858E5" w:rsidP="006165E1">
      <w:pPr>
        <w:spacing w:after="0"/>
      </w:pPr>
      <w:r>
        <w:separator/>
      </w:r>
    </w:p>
  </w:endnote>
  <w:endnote w:type="continuationSeparator" w:id="0">
    <w:p w14:paraId="43CFA652" w14:textId="77777777" w:rsidR="002858E5" w:rsidRDefault="002858E5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27E24" w14:textId="77777777" w:rsidR="002858E5" w:rsidRDefault="002858E5" w:rsidP="006165E1">
      <w:pPr>
        <w:spacing w:after="0"/>
      </w:pPr>
      <w:r>
        <w:separator/>
      </w:r>
    </w:p>
  </w:footnote>
  <w:footnote w:type="continuationSeparator" w:id="0">
    <w:p w14:paraId="7A6DD824" w14:textId="77777777" w:rsidR="002858E5" w:rsidRDefault="002858E5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1F2D6E"/>
    <w:multiLevelType w:val="hybridMultilevel"/>
    <w:tmpl w:val="CC40565C"/>
    <w:lvl w:ilvl="0" w:tplc="E07EF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A996A9D"/>
    <w:multiLevelType w:val="hybridMultilevel"/>
    <w:tmpl w:val="CC40565C"/>
    <w:lvl w:ilvl="0" w:tplc="E07EF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26C0BAB"/>
    <w:multiLevelType w:val="hybridMultilevel"/>
    <w:tmpl w:val="CC40565C"/>
    <w:lvl w:ilvl="0" w:tplc="E07EF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90A"/>
    <w:rsid w:val="0000457E"/>
    <w:rsid w:val="00005B6D"/>
    <w:rsid w:val="00005C3B"/>
    <w:rsid w:val="000114F7"/>
    <w:rsid w:val="000126BE"/>
    <w:rsid w:val="00025AE6"/>
    <w:rsid w:val="00031F62"/>
    <w:rsid w:val="0003403D"/>
    <w:rsid w:val="0003540B"/>
    <w:rsid w:val="000376CE"/>
    <w:rsid w:val="000414A7"/>
    <w:rsid w:val="000461DB"/>
    <w:rsid w:val="00052F54"/>
    <w:rsid w:val="00057514"/>
    <w:rsid w:val="00062129"/>
    <w:rsid w:val="0006795C"/>
    <w:rsid w:val="0007197B"/>
    <w:rsid w:val="000734E9"/>
    <w:rsid w:val="000747CE"/>
    <w:rsid w:val="00074BC9"/>
    <w:rsid w:val="000761DD"/>
    <w:rsid w:val="00076746"/>
    <w:rsid w:val="00084121"/>
    <w:rsid w:val="0008662F"/>
    <w:rsid w:val="00087C16"/>
    <w:rsid w:val="00092C90"/>
    <w:rsid w:val="000955D7"/>
    <w:rsid w:val="00097635"/>
    <w:rsid w:val="000A2D5A"/>
    <w:rsid w:val="000A62F0"/>
    <w:rsid w:val="000A66B6"/>
    <w:rsid w:val="000B0F0F"/>
    <w:rsid w:val="000B3968"/>
    <w:rsid w:val="000B39D7"/>
    <w:rsid w:val="000B500E"/>
    <w:rsid w:val="000C162D"/>
    <w:rsid w:val="000D2169"/>
    <w:rsid w:val="000E7E6F"/>
    <w:rsid w:val="000F0F24"/>
    <w:rsid w:val="001019D0"/>
    <w:rsid w:val="001045CF"/>
    <w:rsid w:val="00111A49"/>
    <w:rsid w:val="00111B5C"/>
    <w:rsid w:val="00113700"/>
    <w:rsid w:val="001157B3"/>
    <w:rsid w:val="00117B0A"/>
    <w:rsid w:val="00121402"/>
    <w:rsid w:val="00125501"/>
    <w:rsid w:val="00136B98"/>
    <w:rsid w:val="00137303"/>
    <w:rsid w:val="00140F48"/>
    <w:rsid w:val="00145AA9"/>
    <w:rsid w:val="001469E5"/>
    <w:rsid w:val="00167EEB"/>
    <w:rsid w:val="00170A1E"/>
    <w:rsid w:val="00182F5C"/>
    <w:rsid w:val="001852D3"/>
    <w:rsid w:val="001A3FB5"/>
    <w:rsid w:val="001A6C6C"/>
    <w:rsid w:val="001B593C"/>
    <w:rsid w:val="001B6EBE"/>
    <w:rsid w:val="001B744A"/>
    <w:rsid w:val="001C1FE2"/>
    <w:rsid w:val="001C2C3B"/>
    <w:rsid w:val="001D12C7"/>
    <w:rsid w:val="001D1AB7"/>
    <w:rsid w:val="001D1C53"/>
    <w:rsid w:val="001D28D3"/>
    <w:rsid w:val="001D330E"/>
    <w:rsid w:val="001D759D"/>
    <w:rsid w:val="001E2428"/>
    <w:rsid w:val="001E48F4"/>
    <w:rsid w:val="001F11C7"/>
    <w:rsid w:val="001F62FC"/>
    <w:rsid w:val="002014D0"/>
    <w:rsid w:val="00213C59"/>
    <w:rsid w:val="00216843"/>
    <w:rsid w:val="00216DF3"/>
    <w:rsid w:val="00231CC1"/>
    <w:rsid w:val="00236C4A"/>
    <w:rsid w:val="002458C8"/>
    <w:rsid w:val="00245A6E"/>
    <w:rsid w:val="002472D9"/>
    <w:rsid w:val="002523E5"/>
    <w:rsid w:val="00253F79"/>
    <w:rsid w:val="00257033"/>
    <w:rsid w:val="0025747D"/>
    <w:rsid w:val="00265E0B"/>
    <w:rsid w:val="0026687D"/>
    <w:rsid w:val="0026693D"/>
    <w:rsid w:val="002673D3"/>
    <w:rsid w:val="0027793E"/>
    <w:rsid w:val="00280C3B"/>
    <w:rsid w:val="00283DA2"/>
    <w:rsid w:val="0028586C"/>
    <w:rsid w:val="002858E5"/>
    <w:rsid w:val="00285F5F"/>
    <w:rsid w:val="00297370"/>
    <w:rsid w:val="002A4E5D"/>
    <w:rsid w:val="002B2A9B"/>
    <w:rsid w:val="002B2DCA"/>
    <w:rsid w:val="002B35A3"/>
    <w:rsid w:val="002B3F19"/>
    <w:rsid w:val="002B4A4E"/>
    <w:rsid w:val="002B4C2A"/>
    <w:rsid w:val="002C528E"/>
    <w:rsid w:val="002C78DC"/>
    <w:rsid w:val="002C7B77"/>
    <w:rsid w:val="002D2A0C"/>
    <w:rsid w:val="002D7346"/>
    <w:rsid w:val="002E2852"/>
    <w:rsid w:val="002E4648"/>
    <w:rsid w:val="002F2585"/>
    <w:rsid w:val="002F40A7"/>
    <w:rsid w:val="002F4438"/>
    <w:rsid w:val="002F44EF"/>
    <w:rsid w:val="002F6239"/>
    <w:rsid w:val="002F736C"/>
    <w:rsid w:val="00300E16"/>
    <w:rsid w:val="0030508F"/>
    <w:rsid w:val="0030663C"/>
    <w:rsid w:val="00310587"/>
    <w:rsid w:val="003168C7"/>
    <w:rsid w:val="00325A14"/>
    <w:rsid w:val="0033218E"/>
    <w:rsid w:val="00351D1D"/>
    <w:rsid w:val="00356FF3"/>
    <w:rsid w:val="0036171D"/>
    <w:rsid w:val="00363CD0"/>
    <w:rsid w:val="00366B81"/>
    <w:rsid w:val="003676AB"/>
    <w:rsid w:val="003813E5"/>
    <w:rsid w:val="00383A21"/>
    <w:rsid w:val="00386DF4"/>
    <w:rsid w:val="00387B65"/>
    <w:rsid w:val="00393D9C"/>
    <w:rsid w:val="003959C2"/>
    <w:rsid w:val="003A2C1B"/>
    <w:rsid w:val="003A39AE"/>
    <w:rsid w:val="003B1928"/>
    <w:rsid w:val="003B2BFF"/>
    <w:rsid w:val="003B2C64"/>
    <w:rsid w:val="003B46EC"/>
    <w:rsid w:val="003C15F9"/>
    <w:rsid w:val="003C40AC"/>
    <w:rsid w:val="003C6A2A"/>
    <w:rsid w:val="003D04FF"/>
    <w:rsid w:val="003D1CCF"/>
    <w:rsid w:val="003D209D"/>
    <w:rsid w:val="003D7DDE"/>
    <w:rsid w:val="003E23C3"/>
    <w:rsid w:val="003E2F2D"/>
    <w:rsid w:val="003F3C93"/>
    <w:rsid w:val="004021D1"/>
    <w:rsid w:val="00405036"/>
    <w:rsid w:val="0040614C"/>
    <w:rsid w:val="00406D22"/>
    <w:rsid w:val="00406F86"/>
    <w:rsid w:val="00412E23"/>
    <w:rsid w:val="004137CD"/>
    <w:rsid w:val="0042293C"/>
    <w:rsid w:val="004249FC"/>
    <w:rsid w:val="00424BF4"/>
    <w:rsid w:val="004267D5"/>
    <w:rsid w:val="00435458"/>
    <w:rsid w:val="004418D4"/>
    <w:rsid w:val="0045285B"/>
    <w:rsid w:val="00452AC3"/>
    <w:rsid w:val="00457292"/>
    <w:rsid w:val="0045780A"/>
    <w:rsid w:val="00457ACF"/>
    <w:rsid w:val="00457F45"/>
    <w:rsid w:val="0046573E"/>
    <w:rsid w:val="00465F0C"/>
    <w:rsid w:val="00472F60"/>
    <w:rsid w:val="00473CF8"/>
    <w:rsid w:val="00474FCF"/>
    <w:rsid w:val="00481350"/>
    <w:rsid w:val="00485404"/>
    <w:rsid w:val="0049313B"/>
    <w:rsid w:val="004A139B"/>
    <w:rsid w:val="004A1D6C"/>
    <w:rsid w:val="004A3216"/>
    <w:rsid w:val="004B0981"/>
    <w:rsid w:val="004B2C6F"/>
    <w:rsid w:val="004B54EE"/>
    <w:rsid w:val="004D705B"/>
    <w:rsid w:val="004E67B5"/>
    <w:rsid w:val="004F4EE5"/>
    <w:rsid w:val="004F6D35"/>
    <w:rsid w:val="00503A7B"/>
    <w:rsid w:val="00504FEF"/>
    <w:rsid w:val="005060A4"/>
    <w:rsid w:val="00514BA8"/>
    <w:rsid w:val="00515955"/>
    <w:rsid w:val="005177B6"/>
    <w:rsid w:val="00517AC1"/>
    <w:rsid w:val="00522BA0"/>
    <w:rsid w:val="00534556"/>
    <w:rsid w:val="00536915"/>
    <w:rsid w:val="00537B87"/>
    <w:rsid w:val="005456F0"/>
    <w:rsid w:val="00547CAD"/>
    <w:rsid w:val="00556B7A"/>
    <w:rsid w:val="00561FF8"/>
    <w:rsid w:val="00563856"/>
    <w:rsid w:val="005670F7"/>
    <w:rsid w:val="005706F0"/>
    <w:rsid w:val="00572518"/>
    <w:rsid w:val="00574BDC"/>
    <w:rsid w:val="00597358"/>
    <w:rsid w:val="005A1996"/>
    <w:rsid w:val="005A52C3"/>
    <w:rsid w:val="005A6BE9"/>
    <w:rsid w:val="005B3563"/>
    <w:rsid w:val="005C135C"/>
    <w:rsid w:val="005C3D4B"/>
    <w:rsid w:val="005C4278"/>
    <w:rsid w:val="005D339F"/>
    <w:rsid w:val="005D6F82"/>
    <w:rsid w:val="005E1D56"/>
    <w:rsid w:val="005E40C3"/>
    <w:rsid w:val="005E5669"/>
    <w:rsid w:val="005F0936"/>
    <w:rsid w:val="005F1C1F"/>
    <w:rsid w:val="005F1C54"/>
    <w:rsid w:val="005F1DCE"/>
    <w:rsid w:val="005F4EB2"/>
    <w:rsid w:val="005F57BB"/>
    <w:rsid w:val="005F621C"/>
    <w:rsid w:val="006039E6"/>
    <w:rsid w:val="00603A38"/>
    <w:rsid w:val="00606B70"/>
    <w:rsid w:val="006101D5"/>
    <w:rsid w:val="006165E1"/>
    <w:rsid w:val="00616EB0"/>
    <w:rsid w:val="0062060A"/>
    <w:rsid w:val="00622675"/>
    <w:rsid w:val="00622CF2"/>
    <w:rsid w:val="006308E1"/>
    <w:rsid w:val="006412B1"/>
    <w:rsid w:val="00641CA5"/>
    <w:rsid w:val="006427A8"/>
    <w:rsid w:val="0064471C"/>
    <w:rsid w:val="006540F2"/>
    <w:rsid w:val="00654AA3"/>
    <w:rsid w:val="006553F2"/>
    <w:rsid w:val="00665DEF"/>
    <w:rsid w:val="00673034"/>
    <w:rsid w:val="0068031F"/>
    <w:rsid w:val="00680406"/>
    <w:rsid w:val="006924D0"/>
    <w:rsid w:val="00692565"/>
    <w:rsid w:val="00697B4B"/>
    <w:rsid w:val="006A42EE"/>
    <w:rsid w:val="006A5323"/>
    <w:rsid w:val="006A6BBE"/>
    <w:rsid w:val="006B26E6"/>
    <w:rsid w:val="006B6B74"/>
    <w:rsid w:val="006C0AE1"/>
    <w:rsid w:val="006C178C"/>
    <w:rsid w:val="006C74F2"/>
    <w:rsid w:val="006D53CD"/>
    <w:rsid w:val="006D77DC"/>
    <w:rsid w:val="006E7BB8"/>
    <w:rsid w:val="006F722C"/>
    <w:rsid w:val="007123A0"/>
    <w:rsid w:val="00714520"/>
    <w:rsid w:val="0071744B"/>
    <w:rsid w:val="00717CA0"/>
    <w:rsid w:val="00724458"/>
    <w:rsid w:val="00724C05"/>
    <w:rsid w:val="00727A35"/>
    <w:rsid w:val="00727BFD"/>
    <w:rsid w:val="007305D9"/>
    <w:rsid w:val="00731E20"/>
    <w:rsid w:val="0073665F"/>
    <w:rsid w:val="00744516"/>
    <w:rsid w:val="00756C80"/>
    <w:rsid w:val="007611AC"/>
    <w:rsid w:val="0076153D"/>
    <w:rsid w:val="0076472B"/>
    <w:rsid w:val="00766576"/>
    <w:rsid w:val="007709A7"/>
    <w:rsid w:val="007712B3"/>
    <w:rsid w:val="00774444"/>
    <w:rsid w:val="00774626"/>
    <w:rsid w:val="00777EEF"/>
    <w:rsid w:val="00784193"/>
    <w:rsid w:val="00790A07"/>
    <w:rsid w:val="0079615B"/>
    <w:rsid w:val="007A2D2A"/>
    <w:rsid w:val="007A77B2"/>
    <w:rsid w:val="007D009A"/>
    <w:rsid w:val="007E0CCC"/>
    <w:rsid w:val="007E44A9"/>
    <w:rsid w:val="007E6DCB"/>
    <w:rsid w:val="007F18B3"/>
    <w:rsid w:val="007F578D"/>
    <w:rsid w:val="007F5DD2"/>
    <w:rsid w:val="007F6063"/>
    <w:rsid w:val="00806893"/>
    <w:rsid w:val="00815763"/>
    <w:rsid w:val="00815DE1"/>
    <w:rsid w:val="0081697C"/>
    <w:rsid w:val="00824F31"/>
    <w:rsid w:val="00835B1C"/>
    <w:rsid w:val="00850E13"/>
    <w:rsid w:val="00852FE5"/>
    <w:rsid w:val="00853C49"/>
    <w:rsid w:val="00857825"/>
    <w:rsid w:val="008726C7"/>
    <w:rsid w:val="008753B6"/>
    <w:rsid w:val="00881CCD"/>
    <w:rsid w:val="00890CDE"/>
    <w:rsid w:val="00891C63"/>
    <w:rsid w:val="00892DC6"/>
    <w:rsid w:val="008A7BA9"/>
    <w:rsid w:val="008B2E9F"/>
    <w:rsid w:val="008B3B78"/>
    <w:rsid w:val="008B3E51"/>
    <w:rsid w:val="008B54DA"/>
    <w:rsid w:val="008C6750"/>
    <w:rsid w:val="008D0588"/>
    <w:rsid w:val="008D2DC6"/>
    <w:rsid w:val="008D58B4"/>
    <w:rsid w:val="008E0905"/>
    <w:rsid w:val="008E1CED"/>
    <w:rsid w:val="008E343E"/>
    <w:rsid w:val="008E47E6"/>
    <w:rsid w:val="008F08D0"/>
    <w:rsid w:val="008F2706"/>
    <w:rsid w:val="00901346"/>
    <w:rsid w:val="0090321C"/>
    <w:rsid w:val="0090470B"/>
    <w:rsid w:val="009112D7"/>
    <w:rsid w:val="00914ABF"/>
    <w:rsid w:val="009238B9"/>
    <w:rsid w:val="009259BA"/>
    <w:rsid w:val="00926389"/>
    <w:rsid w:val="009306DC"/>
    <w:rsid w:val="009354CE"/>
    <w:rsid w:val="00935E78"/>
    <w:rsid w:val="0093677B"/>
    <w:rsid w:val="00940222"/>
    <w:rsid w:val="009458C1"/>
    <w:rsid w:val="009538CC"/>
    <w:rsid w:val="00953A50"/>
    <w:rsid w:val="00961595"/>
    <w:rsid w:val="009666B3"/>
    <w:rsid w:val="0096690A"/>
    <w:rsid w:val="00970B70"/>
    <w:rsid w:val="009748BF"/>
    <w:rsid w:val="009831CE"/>
    <w:rsid w:val="009A62C0"/>
    <w:rsid w:val="009A7CA7"/>
    <w:rsid w:val="009B1101"/>
    <w:rsid w:val="009B12AF"/>
    <w:rsid w:val="009B5839"/>
    <w:rsid w:val="009C6211"/>
    <w:rsid w:val="009D3239"/>
    <w:rsid w:val="009E4EB9"/>
    <w:rsid w:val="009E7B7F"/>
    <w:rsid w:val="009F473E"/>
    <w:rsid w:val="00A01ADF"/>
    <w:rsid w:val="00A03687"/>
    <w:rsid w:val="00A047C0"/>
    <w:rsid w:val="00A20DD6"/>
    <w:rsid w:val="00A22A01"/>
    <w:rsid w:val="00A242FD"/>
    <w:rsid w:val="00A3370F"/>
    <w:rsid w:val="00A3704C"/>
    <w:rsid w:val="00A37739"/>
    <w:rsid w:val="00A4082E"/>
    <w:rsid w:val="00A46DB4"/>
    <w:rsid w:val="00A50FCE"/>
    <w:rsid w:val="00A538F5"/>
    <w:rsid w:val="00A541DB"/>
    <w:rsid w:val="00A5566C"/>
    <w:rsid w:val="00A57A10"/>
    <w:rsid w:val="00A57AC6"/>
    <w:rsid w:val="00A71C58"/>
    <w:rsid w:val="00A83FF5"/>
    <w:rsid w:val="00A84450"/>
    <w:rsid w:val="00A85911"/>
    <w:rsid w:val="00AA0044"/>
    <w:rsid w:val="00AA2538"/>
    <w:rsid w:val="00AA391F"/>
    <w:rsid w:val="00AA45FC"/>
    <w:rsid w:val="00AB5D8F"/>
    <w:rsid w:val="00AB7619"/>
    <w:rsid w:val="00AC49ED"/>
    <w:rsid w:val="00AD5F6F"/>
    <w:rsid w:val="00AE09D1"/>
    <w:rsid w:val="00AE4D4C"/>
    <w:rsid w:val="00AE4D6C"/>
    <w:rsid w:val="00AF0516"/>
    <w:rsid w:val="00AF6549"/>
    <w:rsid w:val="00B01D7A"/>
    <w:rsid w:val="00B04C4C"/>
    <w:rsid w:val="00B04D01"/>
    <w:rsid w:val="00B1135A"/>
    <w:rsid w:val="00B15694"/>
    <w:rsid w:val="00B25389"/>
    <w:rsid w:val="00B27161"/>
    <w:rsid w:val="00B303FA"/>
    <w:rsid w:val="00B37695"/>
    <w:rsid w:val="00B42D8C"/>
    <w:rsid w:val="00B45152"/>
    <w:rsid w:val="00B46BCB"/>
    <w:rsid w:val="00B738EA"/>
    <w:rsid w:val="00B77E7F"/>
    <w:rsid w:val="00B80475"/>
    <w:rsid w:val="00B807E1"/>
    <w:rsid w:val="00B863AD"/>
    <w:rsid w:val="00B86480"/>
    <w:rsid w:val="00B868AF"/>
    <w:rsid w:val="00BA50C6"/>
    <w:rsid w:val="00BA5849"/>
    <w:rsid w:val="00BC250E"/>
    <w:rsid w:val="00BC386A"/>
    <w:rsid w:val="00BC3E9D"/>
    <w:rsid w:val="00BC4F68"/>
    <w:rsid w:val="00BC50A1"/>
    <w:rsid w:val="00BC78F8"/>
    <w:rsid w:val="00BD1545"/>
    <w:rsid w:val="00BD3324"/>
    <w:rsid w:val="00BD5B4F"/>
    <w:rsid w:val="00BE1534"/>
    <w:rsid w:val="00BE2E4F"/>
    <w:rsid w:val="00BE68A6"/>
    <w:rsid w:val="00BE7D3D"/>
    <w:rsid w:val="00BF25C3"/>
    <w:rsid w:val="00BF48B2"/>
    <w:rsid w:val="00BF60BE"/>
    <w:rsid w:val="00BF775E"/>
    <w:rsid w:val="00C00D17"/>
    <w:rsid w:val="00C05B36"/>
    <w:rsid w:val="00C11F21"/>
    <w:rsid w:val="00C136AF"/>
    <w:rsid w:val="00C166B8"/>
    <w:rsid w:val="00C21FFA"/>
    <w:rsid w:val="00C26C33"/>
    <w:rsid w:val="00C32D18"/>
    <w:rsid w:val="00C33152"/>
    <w:rsid w:val="00C407D0"/>
    <w:rsid w:val="00C50838"/>
    <w:rsid w:val="00C5394A"/>
    <w:rsid w:val="00C726FA"/>
    <w:rsid w:val="00C73DD3"/>
    <w:rsid w:val="00C827A0"/>
    <w:rsid w:val="00C82A65"/>
    <w:rsid w:val="00C9207C"/>
    <w:rsid w:val="00C95266"/>
    <w:rsid w:val="00CA0DA8"/>
    <w:rsid w:val="00CA3F1D"/>
    <w:rsid w:val="00CA6CDC"/>
    <w:rsid w:val="00CA7FAB"/>
    <w:rsid w:val="00CB0242"/>
    <w:rsid w:val="00CB14A2"/>
    <w:rsid w:val="00CC1F12"/>
    <w:rsid w:val="00CC3D43"/>
    <w:rsid w:val="00CC59B0"/>
    <w:rsid w:val="00CD3B34"/>
    <w:rsid w:val="00CD6A92"/>
    <w:rsid w:val="00CE1408"/>
    <w:rsid w:val="00CE66F3"/>
    <w:rsid w:val="00CF2A2A"/>
    <w:rsid w:val="00CF4E9A"/>
    <w:rsid w:val="00CF74A8"/>
    <w:rsid w:val="00D00A33"/>
    <w:rsid w:val="00D03C25"/>
    <w:rsid w:val="00D04E40"/>
    <w:rsid w:val="00D32ECF"/>
    <w:rsid w:val="00D370F0"/>
    <w:rsid w:val="00D45A56"/>
    <w:rsid w:val="00D45E13"/>
    <w:rsid w:val="00D55ACC"/>
    <w:rsid w:val="00D6047E"/>
    <w:rsid w:val="00D61516"/>
    <w:rsid w:val="00D648AF"/>
    <w:rsid w:val="00D73218"/>
    <w:rsid w:val="00D77500"/>
    <w:rsid w:val="00D81E6B"/>
    <w:rsid w:val="00D8377C"/>
    <w:rsid w:val="00D84F45"/>
    <w:rsid w:val="00D92D67"/>
    <w:rsid w:val="00D963DA"/>
    <w:rsid w:val="00DA169E"/>
    <w:rsid w:val="00DA3A4A"/>
    <w:rsid w:val="00DA49B8"/>
    <w:rsid w:val="00DB3232"/>
    <w:rsid w:val="00DC404D"/>
    <w:rsid w:val="00DC46CE"/>
    <w:rsid w:val="00DC5AFF"/>
    <w:rsid w:val="00DD075F"/>
    <w:rsid w:val="00DD1856"/>
    <w:rsid w:val="00DD1B0E"/>
    <w:rsid w:val="00DD3C34"/>
    <w:rsid w:val="00DD448B"/>
    <w:rsid w:val="00DE1F84"/>
    <w:rsid w:val="00DE473D"/>
    <w:rsid w:val="00E01829"/>
    <w:rsid w:val="00E036D1"/>
    <w:rsid w:val="00E14BBF"/>
    <w:rsid w:val="00E33CA3"/>
    <w:rsid w:val="00E41394"/>
    <w:rsid w:val="00E45311"/>
    <w:rsid w:val="00E46454"/>
    <w:rsid w:val="00E50682"/>
    <w:rsid w:val="00E560E5"/>
    <w:rsid w:val="00E575FD"/>
    <w:rsid w:val="00E63CEC"/>
    <w:rsid w:val="00E66A08"/>
    <w:rsid w:val="00E67235"/>
    <w:rsid w:val="00E716AA"/>
    <w:rsid w:val="00E76CC5"/>
    <w:rsid w:val="00E83C64"/>
    <w:rsid w:val="00E86048"/>
    <w:rsid w:val="00E90DC8"/>
    <w:rsid w:val="00E95EAD"/>
    <w:rsid w:val="00E96736"/>
    <w:rsid w:val="00EB23AB"/>
    <w:rsid w:val="00EB640B"/>
    <w:rsid w:val="00EB76C3"/>
    <w:rsid w:val="00EC3848"/>
    <w:rsid w:val="00ED023E"/>
    <w:rsid w:val="00ED266F"/>
    <w:rsid w:val="00ED4EA2"/>
    <w:rsid w:val="00ED7043"/>
    <w:rsid w:val="00EE3963"/>
    <w:rsid w:val="00EE4986"/>
    <w:rsid w:val="00EE6E11"/>
    <w:rsid w:val="00EF015D"/>
    <w:rsid w:val="00EF101B"/>
    <w:rsid w:val="00EF2FD4"/>
    <w:rsid w:val="00EF3EFD"/>
    <w:rsid w:val="00EF5AFA"/>
    <w:rsid w:val="00EF66CF"/>
    <w:rsid w:val="00F0664E"/>
    <w:rsid w:val="00F07D16"/>
    <w:rsid w:val="00F168D7"/>
    <w:rsid w:val="00F24CA1"/>
    <w:rsid w:val="00F345F3"/>
    <w:rsid w:val="00F36CEC"/>
    <w:rsid w:val="00F54580"/>
    <w:rsid w:val="00F56038"/>
    <w:rsid w:val="00F5659D"/>
    <w:rsid w:val="00F645ED"/>
    <w:rsid w:val="00F7357C"/>
    <w:rsid w:val="00F73A2F"/>
    <w:rsid w:val="00F74B18"/>
    <w:rsid w:val="00F77D02"/>
    <w:rsid w:val="00F80834"/>
    <w:rsid w:val="00F82404"/>
    <w:rsid w:val="00F87CCC"/>
    <w:rsid w:val="00F93D7D"/>
    <w:rsid w:val="00FA081E"/>
    <w:rsid w:val="00FA2AB4"/>
    <w:rsid w:val="00FA30F9"/>
    <w:rsid w:val="00FA5E83"/>
    <w:rsid w:val="00FB3666"/>
    <w:rsid w:val="00FB4EC2"/>
    <w:rsid w:val="00FB61E5"/>
    <w:rsid w:val="00FD3FF1"/>
    <w:rsid w:val="00FE1105"/>
    <w:rsid w:val="00FE1D56"/>
    <w:rsid w:val="00FE221B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ED7EDF41-979C-41FA-BD05-733E2149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EC2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aliases w:val="TableGrid,SGS Table Basic 1"/>
    <w:basedOn w:val="a1"/>
    <w:uiPriority w:val="59"/>
    <w:qFormat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C539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lang w:eastAsia="en-GB"/>
    </w:rPr>
  </w:style>
  <w:style w:type="paragraph" w:styleId="21">
    <w:name w:val="List 2"/>
    <w:basedOn w:val="a"/>
    <w:semiHidden/>
    <w:unhideWhenUsed/>
    <w:rsid w:val="00C5394A"/>
    <w:pPr>
      <w:ind w:leftChars="200" w:left="100" w:hangingChars="200" w:hanging="200"/>
      <w:contextualSpacing/>
    </w:pPr>
  </w:style>
  <w:style w:type="paragraph" w:styleId="af1">
    <w:name w:val="Normal (Web)"/>
    <w:basedOn w:val="a"/>
    <w:uiPriority w:val="99"/>
    <w:qFormat/>
    <w:rsid w:val="00285F5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EQ">
    <w:name w:val="EQ"/>
    <w:basedOn w:val="a"/>
    <w:next w:val="a"/>
    <w:link w:val="EQChar"/>
    <w:qFormat/>
    <w:rsid w:val="000B396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B1">
    <w:name w:val="B1"/>
    <w:basedOn w:val="af2"/>
    <w:link w:val="B1Char"/>
    <w:qFormat/>
    <w:rsid w:val="000B396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EQChar">
    <w:name w:val="EQ Char"/>
    <w:link w:val="EQ"/>
    <w:qFormat/>
    <w:locked/>
    <w:rsid w:val="000B3968"/>
    <w:rPr>
      <w:rFonts w:eastAsia="Times New Roman"/>
      <w:noProof/>
      <w:lang w:val="en-GB" w:eastAsia="en-GB"/>
    </w:rPr>
  </w:style>
  <w:style w:type="character" w:customStyle="1" w:styleId="B1Char">
    <w:name w:val="B1 Char"/>
    <w:link w:val="B1"/>
    <w:qFormat/>
    <w:rsid w:val="000B3968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0B3968"/>
    <w:rPr>
      <w:rFonts w:eastAsia="等线"/>
      <w:lang w:val="en-GB" w:eastAsia="en-GB"/>
    </w:rPr>
  </w:style>
  <w:style w:type="paragraph" w:styleId="af2">
    <w:name w:val="List"/>
    <w:basedOn w:val="a"/>
    <w:semiHidden/>
    <w:unhideWhenUsed/>
    <w:rsid w:val="000B396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285</TotalTime>
  <Pages>4</Pages>
  <Words>1360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27</cp:revision>
  <dcterms:created xsi:type="dcterms:W3CDTF">2025-02-07T00:36:00Z</dcterms:created>
  <dcterms:modified xsi:type="dcterms:W3CDTF">2025-02-07T14:48:00Z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